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FCE69" w14:textId="77777777" w:rsidR="001C5BEA" w:rsidRDefault="001C5BEA" w:rsidP="001C5BEA">
      <w:pPr>
        <w:rPr>
          <w:rFonts w:ascii="Arial" w:hAnsi="Arial" w:cs="Arial"/>
          <w:b/>
          <w:bCs/>
          <w:color w:val="7030A0"/>
        </w:rPr>
      </w:pPr>
      <w:r w:rsidRPr="002352B7">
        <w:rPr>
          <w:rFonts w:ascii="Arial" w:hAnsi="Arial" w:cs="Arial"/>
          <w:b/>
          <w:bCs/>
          <w:color w:val="7030A0"/>
        </w:rPr>
        <w:t>Model Publication Scheme – Guide to Information</w:t>
      </w:r>
    </w:p>
    <w:p w14:paraId="360C7729" w14:textId="04218B5C" w:rsidR="0041316E" w:rsidRPr="002352B7" w:rsidRDefault="0041316E" w:rsidP="001C5BEA">
      <w:pPr>
        <w:rPr>
          <w:rFonts w:ascii="Arial" w:hAnsi="Arial" w:cs="Arial"/>
          <w:b/>
          <w:bCs/>
          <w:color w:val="7030A0"/>
        </w:rPr>
      </w:pPr>
      <w:r>
        <w:rPr>
          <w:rFonts w:ascii="Arial" w:hAnsi="Arial" w:cs="Arial"/>
          <w:b/>
          <w:bCs/>
          <w:color w:val="7030A0"/>
        </w:rPr>
        <w:t xml:space="preserve">Beaudesert &amp; </w:t>
      </w:r>
      <w:r w:rsidRPr="0041316E">
        <w:rPr>
          <w:rFonts w:ascii="Arial" w:hAnsi="Arial" w:cs="Arial"/>
          <w:b/>
          <w:bCs/>
          <w:color w:val="7030A0"/>
        </w:rPr>
        <w:t>Henley-in-Arden Joint Parish Council has adopted the Information Commissioner’s Office (ICO) Model Publication Scheme. This Guide to Information sets out what we publish, how it can be accessed, and any charges</w:t>
      </w:r>
      <w:r w:rsidR="00DD7591">
        <w:rPr>
          <w:rFonts w:ascii="Arial" w:hAnsi="Arial" w:cs="Arial"/>
          <w:b/>
          <w:bCs/>
          <w:color w:val="7030A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9"/>
        <w:gridCol w:w="8130"/>
        <w:gridCol w:w="2879"/>
      </w:tblGrid>
      <w:tr w:rsidR="001C5BEA" w:rsidRPr="002352B7" w14:paraId="53F765B2" w14:textId="77777777" w:rsidTr="00107547">
        <w:trPr>
          <w:tblHeader/>
          <w:tblCellSpacing w:w="15" w:type="dxa"/>
        </w:trPr>
        <w:tc>
          <w:tcPr>
            <w:tcW w:w="0" w:type="auto"/>
            <w:vAlign w:val="center"/>
            <w:hideMark/>
          </w:tcPr>
          <w:p w14:paraId="67AE6B4F" w14:textId="77777777" w:rsidR="001C5BEA" w:rsidRPr="002352B7" w:rsidRDefault="001C5BEA" w:rsidP="00107547">
            <w:pPr>
              <w:rPr>
                <w:rFonts w:ascii="Arial" w:hAnsi="Arial" w:cs="Arial"/>
                <w:b/>
                <w:bCs/>
                <w:color w:val="7030A0"/>
              </w:rPr>
            </w:pPr>
            <w:r w:rsidRPr="002352B7">
              <w:rPr>
                <w:rFonts w:ascii="Arial" w:hAnsi="Arial" w:cs="Arial"/>
                <w:b/>
                <w:bCs/>
                <w:color w:val="7030A0"/>
              </w:rPr>
              <w:t>Information Class</w:t>
            </w:r>
          </w:p>
        </w:tc>
        <w:tc>
          <w:tcPr>
            <w:tcW w:w="0" w:type="auto"/>
            <w:vAlign w:val="center"/>
            <w:hideMark/>
          </w:tcPr>
          <w:p w14:paraId="29579562" w14:textId="77777777" w:rsidR="001C5BEA" w:rsidRPr="002352B7" w:rsidRDefault="001C5BEA" w:rsidP="00107547">
            <w:pPr>
              <w:rPr>
                <w:rFonts w:ascii="Arial" w:hAnsi="Arial" w:cs="Arial"/>
                <w:b/>
                <w:bCs/>
                <w:color w:val="7030A0"/>
              </w:rPr>
            </w:pPr>
            <w:r w:rsidRPr="002352B7">
              <w:rPr>
                <w:rFonts w:ascii="Arial" w:hAnsi="Arial" w:cs="Arial"/>
                <w:b/>
                <w:bCs/>
                <w:color w:val="7030A0"/>
              </w:rPr>
              <w:t>What We Publish</w:t>
            </w:r>
          </w:p>
        </w:tc>
        <w:tc>
          <w:tcPr>
            <w:tcW w:w="0" w:type="auto"/>
            <w:vAlign w:val="center"/>
            <w:hideMark/>
          </w:tcPr>
          <w:p w14:paraId="200AA8B8" w14:textId="77777777" w:rsidR="001C5BEA" w:rsidRPr="002352B7" w:rsidRDefault="001C5BEA" w:rsidP="00107547">
            <w:pPr>
              <w:rPr>
                <w:rFonts w:ascii="Arial" w:hAnsi="Arial" w:cs="Arial"/>
                <w:b/>
                <w:bCs/>
                <w:color w:val="7030A0"/>
              </w:rPr>
            </w:pPr>
            <w:r w:rsidRPr="002352B7">
              <w:rPr>
                <w:rFonts w:ascii="Arial" w:hAnsi="Arial" w:cs="Arial"/>
                <w:b/>
                <w:bCs/>
                <w:color w:val="7030A0"/>
              </w:rPr>
              <w:t>Where to Find It</w:t>
            </w:r>
          </w:p>
        </w:tc>
      </w:tr>
      <w:tr w:rsidR="001C5BEA" w:rsidRPr="002352B7" w14:paraId="6504B8C5" w14:textId="77777777" w:rsidTr="00107547">
        <w:trPr>
          <w:tblCellSpacing w:w="15" w:type="dxa"/>
        </w:trPr>
        <w:tc>
          <w:tcPr>
            <w:tcW w:w="0" w:type="auto"/>
            <w:vAlign w:val="center"/>
            <w:hideMark/>
          </w:tcPr>
          <w:p w14:paraId="5505491C" w14:textId="77777777" w:rsidR="001C5BEA" w:rsidRPr="002352B7" w:rsidRDefault="001C5BEA" w:rsidP="00107547">
            <w:pPr>
              <w:rPr>
                <w:rFonts w:ascii="Arial" w:hAnsi="Arial" w:cs="Arial"/>
                <w:sz w:val="22"/>
                <w:szCs w:val="22"/>
              </w:rPr>
            </w:pPr>
            <w:r w:rsidRPr="002352B7">
              <w:rPr>
                <w:rFonts w:ascii="Arial" w:hAnsi="Arial" w:cs="Arial"/>
                <w:b/>
                <w:bCs/>
                <w:sz w:val="22"/>
                <w:szCs w:val="22"/>
              </w:rPr>
              <w:t>1. Who we are and what we do</w:t>
            </w:r>
          </w:p>
        </w:tc>
        <w:tc>
          <w:tcPr>
            <w:tcW w:w="0" w:type="auto"/>
            <w:vAlign w:val="center"/>
            <w:hideMark/>
          </w:tcPr>
          <w:p w14:paraId="46D2A325" w14:textId="77777777" w:rsidR="001C5BEA" w:rsidRPr="002352B7" w:rsidRDefault="001C5BEA" w:rsidP="00107547">
            <w:pPr>
              <w:rPr>
                <w:rFonts w:ascii="Arial" w:hAnsi="Arial" w:cs="Arial"/>
                <w:sz w:val="22"/>
                <w:szCs w:val="22"/>
              </w:rPr>
            </w:pPr>
            <w:r w:rsidRPr="002352B7">
              <w:rPr>
                <w:rFonts w:ascii="Arial" w:hAnsi="Arial" w:cs="Arial"/>
                <w:sz w:val="22"/>
                <w:szCs w:val="22"/>
              </w:rPr>
              <w:t>Councillor names &amp; contact details; Clerk/RFO contact details; Office location; Committee structure; Standing Orders; Code of Conduct; Boundary map; Staffing structure</w:t>
            </w:r>
          </w:p>
        </w:tc>
        <w:tc>
          <w:tcPr>
            <w:tcW w:w="0" w:type="auto"/>
            <w:vAlign w:val="center"/>
            <w:hideMark/>
          </w:tcPr>
          <w:p w14:paraId="19C99278" w14:textId="77777777" w:rsidR="001C5BEA" w:rsidRPr="002352B7" w:rsidRDefault="001C5BEA" w:rsidP="00107547">
            <w:pPr>
              <w:rPr>
                <w:rFonts w:ascii="Arial" w:hAnsi="Arial" w:cs="Arial"/>
                <w:sz w:val="22"/>
                <w:szCs w:val="22"/>
              </w:rPr>
            </w:pPr>
            <w:r w:rsidRPr="002352B7">
              <w:rPr>
                <w:rFonts w:ascii="Arial" w:hAnsi="Arial" w:cs="Arial"/>
                <w:sz w:val="22"/>
                <w:szCs w:val="22"/>
              </w:rPr>
              <w:t>About Us • Councillors • Governance Documents</w:t>
            </w:r>
          </w:p>
        </w:tc>
      </w:tr>
      <w:tr w:rsidR="001C5BEA" w:rsidRPr="002352B7" w14:paraId="40625262" w14:textId="77777777" w:rsidTr="00107547">
        <w:trPr>
          <w:tblCellSpacing w:w="15" w:type="dxa"/>
        </w:trPr>
        <w:tc>
          <w:tcPr>
            <w:tcW w:w="0" w:type="auto"/>
            <w:vAlign w:val="center"/>
            <w:hideMark/>
          </w:tcPr>
          <w:p w14:paraId="013139BB" w14:textId="77777777" w:rsidR="001C5BEA" w:rsidRPr="002352B7" w:rsidRDefault="001C5BEA" w:rsidP="00107547">
            <w:pPr>
              <w:rPr>
                <w:rFonts w:ascii="Arial" w:hAnsi="Arial" w:cs="Arial"/>
                <w:sz w:val="22"/>
                <w:szCs w:val="22"/>
              </w:rPr>
            </w:pPr>
            <w:r w:rsidRPr="002352B7">
              <w:rPr>
                <w:rFonts w:ascii="Arial" w:hAnsi="Arial" w:cs="Arial"/>
                <w:b/>
                <w:bCs/>
                <w:sz w:val="22"/>
                <w:szCs w:val="22"/>
              </w:rPr>
              <w:t>2. What we spend and how we spend it</w:t>
            </w:r>
          </w:p>
        </w:tc>
        <w:tc>
          <w:tcPr>
            <w:tcW w:w="0" w:type="auto"/>
            <w:vAlign w:val="center"/>
            <w:hideMark/>
          </w:tcPr>
          <w:p w14:paraId="58807E71" w14:textId="77777777" w:rsidR="001C5BEA" w:rsidRPr="002352B7" w:rsidRDefault="001C5BEA" w:rsidP="00107547">
            <w:pPr>
              <w:rPr>
                <w:rFonts w:ascii="Arial" w:hAnsi="Arial" w:cs="Arial"/>
                <w:sz w:val="22"/>
                <w:szCs w:val="22"/>
              </w:rPr>
            </w:pPr>
            <w:r w:rsidRPr="002352B7">
              <w:rPr>
                <w:rFonts w:ascii="Arial" w:hAnsi="Arial" w:cs="Arial"/>
                <w:sz w:val="22"/>
                <w:szCs w:val="22"/>
              </w:rPr>
              <w:t>Annual budget; Precept; Annual accounts (AGAR); Internal &amp; external audit reports; Expenditure over £100; Grants awarded; Procurement information; Financial Regulations</w:t>
            </w:r>
          </w:p>
        </w:tc>
        <w:tc>
          <w:tcPr>
            <w:tcW w:w="0" w:type="auto"/>
            <w:vAlign w:val="center"/>
            <w:hideMark/>
          </w:tcPr>
          <w:p w14:paraId="547FA824" w14:textId="77777777" w:rsidR="001C5BEA" w:rsidRPr="002352B7" w:rsidRDefault="001C5BEA" w:rsidP="00107547">
            <w:pPr>
              <w:rPr>
                <w:rFonts w:ascii="Arial" w:hAnsi="Arial" w:cs="Arial"/>
                <w:sz w:val="22"/>
                <w:szCs w:val="22"/>
              </w:rPr>
            </w:pPr>
            <w:r w:rsidRPr="002352B7">
              <w:rPr>
                <w:rFonts w:ascii="Arial" w:hAnsi="Arial" w:cs="Arial"/>
                <w:sz w:val="22"/>
                <w:szCs w:val="22"/>
              </w:rPr>
              <w:t>Finance page • Documents &amp; Reports</w:t>
            </w:r>
          </w:p>
        </w:tc>
      </w:tr>
      <w:tr w:rsidR="001C5BEA" w:rsidRPr="002352B7" w14:paraId="0C197903" w14:textId="77777777" w:rsidTr="00107547">
        <w:trPr>
          <w:tblCellSpacing w:w="15" w:type="dxa"/>
        </w:trPr>
        <w:tc>
          <w:tcPr>
            <w:tcW w:w="0" w:type="auto"/>
            <w:vAlign w:val="center"/>
            <w:hideMark/>
          </w:tcPr>
          <w:p w14:paraId="16FF4342" w14:textId="77777777" w:rsidR="001C5BEA" w:rsidRPr="002352B7" w:rsidRDefault="001C5BEA" w:rsidP="00107547">
            <w:pPr>
              <w:rPr>
                <w:rFonts w:ascii="Arial" w:hAnsi="Arial" w:cs="Arial"/>
                <w:sz w:val="22"/>
                <w:szCs w:val="22"/>
              </w:rPr>
            </w:pPr>
            <w:r w:rsidRPr="002352B7">
              <w:rPr>
                <w:rFonts w:ascii="Arial" w:hAnsi="Arial" w:cs="Arial"/>
                <w:b/>
                <w:bCs/>
                <w:sz w:val="22"/>
                <w:szCs w:val="22"/>
              </w:rPr>
              <w:t>3. What our priorities are and how we are doing</w:t>
            </w:r>
          </w:p>
        </w:tc>
        <w:tc>
          <w:tcPr>
            <w:tcW w:w="0" w:type="auto"/>
            <w:vAlign w:val="center"/>
            <w:hideMark/>
          </w:tcPr>
          <w:p w14:paraId="59C403A8" w14:textId="77777777" w:rsidR="001C5BEA" w:rsidRPr="002352B7" w:rsidRDefault="001C5BEA" w:rsidP="00107547">
            <w:pPr>
              <w:rPr>
                <w:rFonts w:ascii="Arial" w:hAnsi="Arial" w:cs="Arial"/>
                <w:sz w:val="22"/>
                <w:szCs w:val="22"/>
              </w:rPr>
            </w:pPr>
            <w:r w:rsidRPr="002352B7">
              <w:rPr>
                <w:rFonts w:ascii="Arial" w:hAnsi="Arial" w:cs="Arial"/>
                <w:sz w:val="22"/>
                <w:szCs w:val="22"/>
              </w:rPr>
              <w:t>Parish priorities; Neighbourhood Plan; Annual reports; Action plans; Community engagement outcomes; Performance reporting where applicable</w:t>
            </w:r>
          </w:p>
        </w:tc>
        <w:tc>
          <w:tcPr>
            <w:tcW w:w="0" w:type="auto"/>
            <w:vAlign w:val="center"/>
            <w:hideMark/>
          </w:tcPr>
          <w:p w14:paraId="4FCD2536" w14:textId="77777777" w:rsidR="001C5BEA" w:rsidRPr="002352B7" w:rsidRDefault="001C5BEA" w:rsidP="00107547">
            <w:pPr>
              <w:rPr>
                <w:rFonts w:ascii="Arial" w:hAnsi="Arial" w:cs="Arial"/>
                <w:sz w:val="22"/>
                <w:szCs w:val="22"/>
              </w:rPr>
            </w:pPr>
            <w:r w:rsidRPr="002352B7">
              <w:rPr>
                <w:rFonts w:ascii="Arial" w:hAnsi="Arial" w:cs="Arial"/>
                <w:sz w:val="22"/>
                <w:szCs w:val="22"/>
              </w:rPr>
              <w:t>Plans &amp; Strategies • Documents &amp; Reports</w:t>
            </w:r>
          </w:p>
        </w:tc>
      </w:tr>
      <w:tr w:rsidR="001C5BEA" w:rsidRPr="002352B7" w14:paraId="03E7FD5D" w14:textId="77777777" w:rsidTr="00107547">
        <w:trPr>
          <w:tblCellSpacing w:w="15" w:type="dxa"/>
        </w:trPr>
        <w:tc>
          <w:tcPr>
            <w:tcW w:w="0" w:type="auto"/>
            <w:vAlign w:val="center"/>
            <w:hideMark/>
          </w:tcPr>
          <w:p w14:paraId="48442D40" w14:textId="77777777" w:rsidR="001C5BEA" w:rsidRPr="002352B7" w:rsidRDefault="001C5BEA" w:rsidP="00107547">
            <w:pPr>
              <w:rPr>
                <w:rFonts w:ascii="Arial" w:hAnsi="Arial" w:cs="Arial"/>
                <w:sz w:val="22"/>
                <w:szCs w:val="22"/>
              </w:rPr>
            </w:pPr>
            <w:r w:rsidRPr="002352B7">
              <w:rPr>
                <w:rFonts w:ascii="Arial" w:hAnsi="Arial" w:cs="Arial"/>
                <w:b/>
                <w:bCs/>
                <w:sz w:val="22"/>
                <w:szCs w:val="22"/>
              </w:rPr>
              <w:t>4. How we make decisions</w:t>
            </w:r>
          </w:p>
        </w:tc>
        <w:tc>
          <w:tcPr>
            <w:tcW w:w="0" w:type="auto"/>
            <w:vAlign w:val="center"/>
            <w:hideMark/>
          </w:tcPr>
          <w:p w14:paraId="7A88BCD3" w14:textId="77777777" w:rsidR="001C5BEA" w:rsidRPr="002352B7" w:rsidRDefault="001C5BEA" w:rsidP="00107547">
            <w:pPr>
              <w:rPr>
                <w:rFonts w:ascii="Arial" w:hAnsi="Arial" w:cs="Arial"/>
                <w:sz w:val="22"/>
                <w:szCs w:val="22"/>
              </w:rPr>
            </w:pPr>
            <w:r w:rsidRPr="002352B7">
              <w:rPr>
                <w:rFonts w:ascii="Arial" w:hAnsi="Arial" w:cs="Arial"/>
                <w:sz w:val="22"/>
                <w:szCs w:val="22"/>
              </w:rPr>
              <w:t>Meeting agendas; Minutes; Reports to council; Responses to consultations; Delegation arrangements; Committee terms of reference</w:t>
            </w:r>
          </w:p>
        </w:tc>
        <w:tc>
          <w:tcPr>
            <w:tcW w:w="0" w:type="auto"/>
            <w:vAlign w:val="center"/>
            <w:hideMark/>
          </w:tcPr>
          <w:p w14:paraId="6AC0DCEA" w14:textId="77777777" w:rsidR="001C5BEA" w:rsidRPr="002352B7" w:rsidRDefault="001C5BEA" w:rsidP="00107547">
            <w:pPr>
              <w:rPr>
                <w:rFonts w:ascii="Arial" w:hAnsi="Arial" w:cs="Arial"/>
                <w:sz w:val="22"/>
                <w:szCs w:val="22"/>
              </w:rPr>
            </w:pPr>
            <w:r w:rsidRPr="002352B7">
              <w:rPr>
                <w:rFonts w:ascii="Arial" w:hAnsi="Arial" w:cs="Arial"/>
                <w:sz w:val="22"/>
                <w:szCs w:val="22"/>
              </w:rPr>
              <w:t>Meetings page • Governance Documents</w:t>
            </w:r>
          </w:p>
        </w:tc>
      </w:tr>
      <w:tr w:rsidR="001C5BEA" w:rsidRPr="002352B7" w14:paraId="069F5066" w14:textId="77777777" w:rsidTr="00107547">
        <w:trPr>
          <w:tblCellSpacing w:w="15" w:type="dxa"/>
        </w:trPr>
        <w:tc>
          <w:tcPr>
            <w:tcW w:w="0" w:type="auto"/>
            <w:vAlign w:val="center"/>
            <w:hideMark/>
          </w:tcPr>
          <w:p w14:paraId="75EF9207" w14:textId="77777777" w:rsidR="001C5BEA" w:rsidRPr="002352B7" w:rsidRDefault="001C5BEA" w:rsidP="00107547">
            <w:pPr>
              <w:rPr>
                <w:rFonts w:ascii="Arial" w:hAnsi="Arial" w:cs="Arial"/>
                <w:sz w:val="22"/>
                <w:szCs w:val="22"/>
              </w:rPr>
            </w:pPr>
            <w:r w:rsidRPr="002352B7">
              <w:rPr>
                <w:rFonts w:ascii="Arial" w:hAnsi="Arial" w:cs="Arial"/>
                <w:b/>
                <w:bCs/>
                <w:sz w:val="22"/>
                <w:szCs w:val="22"/>
              </w:rPr>
              <w:t>5. Our policies and procedures</w:t>
            </w:r>
          </w:p>
        </w:tc>
        <w:tc>
          <w:tcPr>
            <w:tcW w:w="0" w:type="auto"/>
            <w:vAlign w:val="center"/>
            <w:hideMark/>
          </w:tcPr>
          <w:p w14:paraId="02C20E0F" w14:textId="77777777" w:rsidR="001C5BEA" w:rsidRPr="002352B7" w:rsidRDefault="001C5BEA" w:rsidP="00107547">
            <w:pPr>
              <w:rPr>
                <w:rFonts w:ascii="Arial" w:hAnsi="Arial" w:cs="Arial"/>
                <w:sz w:val="22"/>
                <w:szCs w:val="22"/>
              </w:rPr>
            </w:pPr>
            <w:r w:rsidRPr="002352B7">
              <w:rPr>
                <w:rFonts w:ascii="Arial" w:hAnsi="Arial" w:cs="Arial"/>
                <w:sz w:val="22"/>
                <w:szCs w:val="22"/>
              </w:rPr>
              <w:t>Policies, protocols and procedures for governance, finance, employment, data protection, FOI, complaints, grants, planning responses</w:t>
            </w:r>
          </w:p>
        </w:tc>
        <w:tc>
          <w:tcPr>
            <w:tcW w:w="0" w:type="auto"/>
            <w:vAlign w:val="center"/>
            <w:hideMark/>
          </w:tcPr>
          <w:p w14:paraId="69A1FE22" w14:textId="77777777" w:rsidR="001C5BEA" w:rsidRPr="002352B7" w:rsidRDefault="001C5BEA" w:rsidP="00107547">
            <w:pPr>
              <w:rPr>
                <w:rFonts w:ascii="Arial" w:hAnsi="Arial" w:cs="Arial"/>
                <w:sz w:val="22"/>
                <w:szCs w:val="22"/>
              </w:rPr>
            </w:pPr>
            <w:r w:rsidRPr="002352B7">
              <w:rPr>
                <w:rFonts w:ascii="Arial" w:hAnsi="Arial" w:cs="Arial"/>
                <w:sz w:val="22"/>
                <w:szCs w:val="22"/>
              </w:rPr>
              <w:t>Policies page • Governance Documents</w:t>
            </w:r>
          </w:p>
        </w:tc>
      </w:tr>
      <w:tr w:rsidR="001C5BEA" w:rsidRPr="002352B7" w14:paraId="2000D024" w14:textId="77777777" w:rsidTr="00107547">
        <w:trPr>
          <w:tblCellSpacing w:w="15" w:type="dxa"/>
        </w:trPr>
        <w:tc>
          <w:tcPr>
            <w:tcW w:w="0" w:type="auto"/>
            <w:vAlign w:val="center"/>
            <w:hideMark/>
          </w:tcPr>
          <w:p w14:paraId="28DC0EB5" w14:textId="77777777" w:rsidR="001C5BEA" w:rsidRPr="002352B7" w:rsidRDefault="001C5BEA" w:rsidP="00107547">
            <w:pPr>
              <w:rPr>
                <w:rFonts w:ascii="Arial" w:hAnsi="Arial" w:cs="Arial"/>
                <w:sz w:val="22"/>
                <w:szCs w:val="22"/>
              </w:rPr>
            </w:pPr>
            <w:r w:rsidRPr="002352B7">
              <w:rPr>
                <w:rFonts w:ascii="Arial" w:hAnsi="Arial" w:cs="Arial"/>
                <w:b/>
                <w:bCs/>
                <w:sz w:val="22"/>
                <w:szCs w:val="22"/>
              </w:rPr>
              <w:t>6. Lists and registers</w:t>
            </w:r>
          </w:p>
        </w:tc>
        <w:tc>
          <w:tcPr>
            <w:tcW w:w="0" w:type="auto"/>
            <w:vAlign w:val="center"/>
            <w:hideMark/>
          </w:tcPr>
          <w:p w14:paraId="1D2CEB55" w14:textId="77777777" w:rsidR="001C5BEA" w:rsidRPr="002352B7" w:rsidRDefault="001C5BEA" w:rsidP="00107547">
            <w:pPr>
              <w:rPr>
                <w:rFonts w:ascii="Arial" w:hAnsi="Arial" w:cs="Arial"/>
                <w:sz w:val="22"/>
                <w:szCs w:val="22"/>
              </w:rPr>
            </w:pPr>
            <w:r w:rsidRPr="002352B7">
              <w:rPr>
                <w:rFonts w:ascii="Arial" w:hAnsi="Arial" w:cs="Arial"/>
                <w:sz w:val="22"/>
                <w:szCs w:val="22"/>
              </w:rPr>
              <w:t>Asset register; Members’ interests; Gifts and hospitality (if applicable); Burial records (if applicable); Register of land</w:t>
            </w:r>
          </w:p>
        </w:tc>
        <w:tc>
          <w:tcPr>
            <w:tcW w:w="0" w:type="auto"/>
            <w:vAlign w:val="center"/>
            <w:hideMark/>
          </w:tcPr>
          <w:p w14:paraId="5F4CCA7C" w14:textId="77777777" w:rsidR="001C5BEA" w:rsidRPr="002352B7" w:rsidRDefault="001C5BEA" w:rsidP="00107547">
            <w:pPr>
              <w:rPr>
                <w:rFonts w:ascii="Arial" w:hAnsi="Arial" w:cs="Arial"/>
                <w:sz w:val="22"/>
                <w:szCs w:val="22"/>
              </w:rPr>
            </w:pPr>
            <w:r w:rsidRPr="002352B7">
              <w:rPr>
                <w:rFonts w:ascii="Arial" w:hAnsi="Arial" w:cs="Arial"/>
                <w:sz w:val="22"/>
                <w:szCs w:val="22"/>
              </w:rPr>
              <w:t>Documents &amp; Reports • Transparency page</w:t>
            </w:r>
          </w:p>
        </w:tc>
      </w:tr>
      <w:tr w:rsidR="001C5BEA" w:rsidRPr="002352B7" w14:paraId="28A1C355" w14:textId="77777777" w:rsidTr="00107547">
        <w:trPr>
          <w:tblCellSpacing w:w="15" w:type="dxa"/>
        </w:trPr>
        <w:tc>
          <w:tcPr>
            <w:tcW w:w="0" w:type="auto"/>
            <w:vAlign w:val="center"/>
            <w:hideMark/>
          </w:tcPr>
          <w:p w14:paraId="5A3DA76E" w14:textId="77777777" w:rsidR="001C5BEA" w:rsidRPr="002352B7" w:rsidRDefault="001C5BEA" w:rsidP="00107547">
            <w:pPr>
              <w:rPr>
                <w:rFonts w:ascii="Arial" w:hAnsi="Arial" w:cs="Arial"/>
                <w:sz w:val="22"/>
                <w:szCs w:val="22"/>
              </w:rPr>
            </w:pPr>
            <w:r w:rsidRPr="002352B7">
              <w:rPr>
                <w:rFonts w:ascii="Arial" w:hAnsi="Arial" w:cs="Arial"/>
                <w:b/>
                <w:bCs/>
                <w:sz w:val="22"/>
                <w:szCs w:val="22"/>
              </w:rPr>
              <w:t>7. The services we offer</w:t>
            </w:r>
          </w:p>
        </w:tc>
        <w:tc>
          <w:tcPr>
            <w:tcW w:w="0" w:type="auto"/>
            <w:vAlign w:val="center"/>
            <w:hideMark/>
          </w:tcPr>
          <w:p w14:paraId="0A4D0334" w14:textId="77777777" w:rsidR="001C5BEA" w:rsidRPr="002352B7" w:rsidRDefault="001C5BEA" w:rsidP="00107547">
            <w:pPr>
              <w:rPr>
                <w:rFonts w:ascii="Arial" w:hAnsi="Arial" w:cs="Arial"/>
                <w:sz w:val="22"/>
                <w:szCs w:val="22"/>
              </w:rPr>
            </w:pPr>
            <w:r w:rsidRPr="002352B7">
              <w:rPr>
                <w:rFonts w:ascii="Arial" w:hAnsi="Arial" w:cs="Arial"/>
                <w:sz w:val="22"/>
                <w:szCs w:val="22"/>
              </w:rPr>
              <w:t>Community facilities; Allotments (if applicable); Events; Public spaces; Advice and guidance; Leaflets; Newsletters; High Street initiatives</w:t>
            </w:r>
          </w:p>
        </w:tc>
        <w:tc>
          <w:tcPr>
            <w:tcW w:w="0" w:type="auto"/>
            <w:vAlign w:val="center"/>
            <w:hideMark/>
          </w:tcPr>
          <w:p w14:paraId="47808602" w14:textId="77777777" w:rsidR="001C5BEA" w:rsidRPr="002352B7" w:rsidRDefault="001C5BEA" w:rsidP="00107547">
            <w:pPr>
              <w:rPr>
                <w:rFonts w:ascii="Arial" w:hAnsi="Arial" w:cs="Arial"/>
                <w:sz w:val="22"/>
                <w:szCs w:val="22"/>
              </w:rPr>
            </w:pPr>
            <w:r w:rsidRPr="002352B7">
              <w:rPr>
                <w:rFonts w:ascii="Arial" w:hAnsi="Arial" w:cs="Arial"/>
                <w:sz w:val="22"/>
                <w:szCs w:val="22"/>
              </w:rPr>
              <w:t>Services page • Community Information</w:t>
            </w:r>
          </w:p>
        </w:tc>
      </w:tr>
    </w:tbl>
    <w:p w14:paraId="38FF3FF5" w14:textId="1B99C2DE" w:rsidR="00DD7591" w:rsidRPr="00DD7591" w:rsidRDefault="00DD7591" w:rsidP="00DD7591">
      <w:pPr>
        <w:rPr>
          <w:i/>
          <w:iCs/>
          <w:sz w:val="22"/>
          <w:szCs w:val="22"/>
        </w:rPr>
      </w:pPr>
      <w:r w:rsidRPr="00DD7591">
        <w:rPr>
          <w:i/>
          <w:iCs/>
          <w:sz w:val="22"/>
          <w:szCs w:val="22"/>
        </w:rPr>
        <w:t>The ICO Model Publication Scheme is available at: https://ico.org.uk/media/for-organisations/documents/1153/model-publication-scheme.pdf” (ico.org.uk in Bing)</w:t>
      </w:r>
    </w:p>
    <w:p w14:paraId="1BE8D8AC" w14:textId="77777777" w:rsidR="00DD7591" w:rsidRPr="001C5BEA" w:rsidRDefault="00DD7591">
      <w:pPr>
        <w:rPr>
          <w:sz w:val="22"/>
          <w:szCs w:val="22"/>
        </w:rPr>
      </w:pPr>
    </w:p>
    <w:sectPr w:rsidR="00DD7591" w:rsidRPr="001C5BEA" w:rsidSect="001C5B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EA"/>
    <w:rsid w:val="001C5BEA"/>
    <w:rsid w:val="002725AB"/>
    <w:rsid w:val="0041316E"/>
    <w:rsid w:val="004F3B9A"/>
    <w:rsid w:val="0068799B"/>
    <w:rsid w:val="00B2555A"/>
    <w:rsid w:val="00B8681D"/>
    <w:rsid w:val="00DD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FF15"/>
  <w15:chartTrackingRefBased/>
  <w15:docId w15:val="{AD7060B8-69D4-4AE2-83DF-E733B96E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EA"/>
  </w:style>
  <w:style w:type="paragraph" w:styleId="Heading1">
    <w:name w:val="heading 1"/>
    <w:basedOn w:val="Normal"/>
    <w:next w:val="Normal"/>
    <w:link w:val="Heading1Char"/>
    <w:uiPriority w:val="9"/>
    <w:qFormat/>
    <w:rsid w:val="001C5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BEA"/>
    <w:rPr>
      <w:rFonts w:eastAsiaTheme="majorEastAsia" w:cstheme="majorBidi"/>
      <w:color w:val="272727" w:themeColor="text1" w:themeTint="D8"/>
    </w:rPr>
  </w:style>
  <w:style w:type="paragraph" w:styleId="Title">
    <w:name w:val="Title"/>
    <w:basedOn w:val="Normal"/>
    <w:next w:val="Normal"/>
    <w:link w:val="TitleChar"/>
    <w:uiPriority w:val="10"/>
    <w:qFormat/>
    <w:rsid w:val="001C5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5BEA"/>
    <w:rPr>
      <w:i/>
      <w:iCs/>
      <w:color w:val="404040" w:themeColor="text1" w:themeTint="BF"/>
    </w:rPr>
  </w:style>
  <w:style w:type="paragraph" w:styleId="ListParagraph">
    <w:name w:val="List Paragraph"/>
    <w:basedOn w:val="Normal"/>
    <w:uiPriority w:val="34"/>
    <w:qFormat/>
    <w:rsid w:val="001C5BEA"/>
    <w:pPr>
      <w:ind w:left="720"/>
      <w:contextualSpacing/>
    </w:pPr>
  </w:style>
  <w:style w:type="character" w:styleId="IntenseEmphasis">
    <w:name w:val="Intense Emphasis"/>
    <w:basedOn w:val="DefaultParagraphFont"/>
    <w:uiPriority w:val="21"/>
    <w:qFormat/>
    <w:rsid w:val="001C5BEA"/>
    <w:rPr>
      <w:i/>
      <w:iCs/>
      <w:color w:val="0F4761" w:themeColor="accent1" w:themeShade="BF"/>
    </w:rPr>
  </w:style>
  <w:style w:type="paragraph" w:styleId="IntenseQuote">
    <w:name w:val="Intense Quote"/>
    <w:basedOn w:val="Normal"/>
    <w:next w:val="Normal"/>
    <w:link w:val="IntenseQuoteChar"/>
    <w:uiPriority w:val="30"/>
    <w:qFormat/>
    <w:rsid w:val="001C5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BEA"/>
    <w:rPr>
      <w:i/>
      <w:iCs/>
      <w:color w:val="0F4761" w:themeColor="accent1" w:themeShade="BF"/>
    </w:rPr>
  </w:style>
  <w:style w:type="character" w:styleId="IntenseReference">
    <w:name w:val="Intense Reference"/>
    <w:basedOn w:val="DefaultParagraphFont"/>
    <w:uiPriority w:val="32"/>
    <w:qFormat/>
    <w:rsid w:val="001C5B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1691</Characters>
  <Application>Microsoft Office Word</Application>
  <DocSecurity>0</DocSecurity>
  <Lines>56</Lines>
  <Paragraphs>53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4</cp:revision>
  <dcterms:created xsi:type="dcterms:W3CDTF">2026-03-26T16:19:00Z</dcterms:created>
  <dcterms:modified xsi:type="dcterms:W3CDTF">2026-03-26T16:23:00Z</dcterms:modified>
</cp:coreProperties>
</file>