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9C5C" w14:textId="7289AF0A" w:rsidR="00D87341" w:rsidRPr="00D87341" w:rsidRDefault="00E76B37" w:rsidP="00E76B37">
      <w:pPr>
        <w:jc w:val="center"/>
      </w:pPr>
      <w:r>
        <w:rPr>
          <w:noProof/>
        </w:rPr>
        <w:drawing>
          <wp:inline distT="0" distB="0" distL="0" distR="0" wp14:anchorId="365B69DA" wp14:editId="46AB88F9">
            <wp:extent cx="1285875" cy="1539153"/>
            <wp:effectExtent l="0" t="0" r="0" b="4445"/>
            <wp:docPr id="1665995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578" cy="154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C4718" w14:textId="69809F9A" w:rsidR="00D87341" w:rsidRPr="00301475" w:rsidRDefault="00405773" w:rsidP="007045A2">
      <w:pPr>
        <w:jc w:val="center"/>
        <w:rPr>
          <w:rFonts w:ascii="Arial" w:hAnsi="Arial" w:cs="Arial"/>
          <w:b/>
          <w:bCs/>
          <w:color w:val="7030A0"/>
          <w:sz w:val="40"/>
          <w:szCs w:val="40"/>
        </w:rPr>
      </w:pPr>
      <w:r>
        <w:rPr>
          <w:rFonts w:ascii="Arial" w:hAnsi="Arial" w:cs="Arial"/>
          <w:b/>
          <w:bCs/>
          <w:color w:val="7030A0"/>
          <w:sz w:val="40"/>
          <w:szCs w:val="40"/>
        </w:rPr>
        <w:t xml:space="preserve">Beaudesert &amp; </w:t>
      </w:r>
      <w:r w:rsidR="00D87341" w:rsidRPr="00301475">
        <w:rPr>
          <w:rFonts w:ascii="Arial" w:hAnsi="Arial" w:cs="Arial"/>
          <w:b/>
          <w:bCs/>
          <w:color w:val="7030A0"/>
          <w:sz w:val="40"/>
          <w:szCs w:val="40"/>
        </w:rPr>
        <w:t>Henley-in-Arden Joint Parish Council</w:t>
      </w:r>
    </w:p>
    <w:p w14:paraId="45303D1C" w14:textId="57C51344" w:rsidR="00D87341" w:rsidRPr="00301475" w:rsidRDefault="00BF50FC" w:rsidP="007045A2">
      <w:pPr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>
        <w:rPr>
          <w:rFonts w:ascii="Arial" w:hAnsi="Arial" w:cs="Arial"/>
          <w:b/>
          <w:bCs/>
          <w:color w:val="7030A0"/>
          <w:sz w:val="36"/>
          <w:szCs w:val="36"/>
        </w:rPr>
        <w:t xml:space="preserve">Privacy Notice </w:t>
      </w:r>
    </w:p>
    <w:p w14:paraId="2CB276F8" w14:textId="77777777" w:rsidR="007045A2" w:rsidRPr="00B12C81" w:rsidRDefault="007045A2" w:rsidP="00D8734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2812"/>
        <w:gridCol w:w="2858"/>
      </w:tblGrid>
      <w:tr w:rsidR="001417D1" w:rsidRPr="00B12C81" w14:paraId="080E4618" w14:textId="77777777" w:rsidTr="00F97BB2">
        <w:trPr>
          <w:trHeight w:val="57"/>
        </w:trPr>
        <w:tc>
          <w:tcPr>
            <w:tcW w:w="2812" w:type="dxa"/>
          </w:tcPr>
          <w:p w14:paraId="5FF29D74" w14:textId="2FF0FF31" w:rsidR="001B323A" w:rsidRPr="00B12C81" w:rsidRDefault="001417D1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/>
                <w:noProof/>
                <w:sz w:val="24"/>
                <w:szCs w:val="24"/>
              </w:rPr>
              <w:t>A</w:t>
            </w:r>
            <w:r w:rsidR="00B5081D" w:rsidRPr="00B12C81">
              <w:rPr>
                <w:rFonts w:ascii="Arial" w:hAnsi="Arial" w:cs="Arial"/>
                <w:b/>
                <w:noProof/>
                <w:sz w:val="24"/>
                <w:szCs w:val="24"/>
              </w:rPr>
              <w:t>dopted</w:t>
            </w:r>
            <w:r w:rsidR="00DF1300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</w:tcPr>
          <w:p w14:paraId="3690D58F" w14:textId="6DEBEA70" w:rsidR="001417D1" w:rsidRDefault="00DA42C9" w:rsidP="00B5081D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0</w:t>
            </w:r>
            <w:r w:rsidR="00BF50FC">
              <w:rPr>
                <w:rFonts w:ascii="Arial" w:hAnsi="Arial" w:cs="Arial"/>
                <w:bCs/>
                <w:noProof/>
                <w:sz w:val="24"/>
                <w:szCs w:val="24"/>
              </w:rPr>
              <w:t>5.05.26</w:t>
            </w:r>
          </w:p>
          <w:p w14:paraId="798F431A" w14:textId="3D7C508E" w:rsidR="00DF1300" w:rsidRPr="009E11FD" w:rsidRDefault="00DF1300" w:rsidP="00B5081D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</w:tr>
      <w:tr w:rsidR="001417D1" w:rsidRPr="00B12C81" w14:paraId="707DFE47" w14:textId="77777777" w:rsidTr="00F97BB2">
        <w:trPr>
          <w:trHeight w:val="340"/>
        </w:trPr>
        <w:tc>
          <w:tcPr>
            <w:tcW w:w="2812" w:type="dxa"/>
          </w:tcPr>
          <w:p w14:paraId="453C8A3C" w14:textId="77777777" w:rsidR="001417D1" w:rsidRPr="00B12C81" w:rsidRDefault="00334C4E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/>
                <w:noProof/>
                <w:sz w:val="24"/>
                <w:szCs w:val="24"/>
              </w:rPr>
              <w:t>Review Date</w:t>
            </w:r>
          </w:p>
          <w:p w14:paraId="31E4D0DB" w14:textId="77777777" w:rsidR="001B323A" w:rsidRPr="00B12C81" w:rsidRDefault="001B323A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29F7BB45" w14:textId="77777777" w:rsidR="001B323A" w:rsidRPr="00B12C81" w:rsidRDefault="001B323A" w:rsidP="00B5081D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Cs/>
                <w:noProof/>
                <w:sz w:val="24"/>
                <w:szCs w:val="24"/>
              </w:rPr>
              <w:t>Policy reviewed every 2 years or upon legislative change</w:t>
            </w:r>
          </w:p>
          <w:p w14:paraId="26A3ADC2" w14:textId="322D3D59" w:rsidR="00E26C41" w:rsidRPr="00B12C81" w:rsidRDefault="00E26C41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858" w:type="dxa"/>
          </w:tcPr>
          <w:p w14:paraId="704DB74D" w14:textId="7FC2DCF5" w:rsidR="001417D1" w:rsidRPr="00B12C81" w:rsidRDefault="00305B0D" w:rsidP="00B5081D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May 2028</w:t>
            </w:r>
          </w:p>
        </w:tc>
      </w:tr>
      <w:tr w:rsidR="001417D1" w:rsidRPr="00B12C81" w14:paraId="2F30F795" w14:textId="77777777" w:rsidTr="00F97BB2">
        <w:trPr>
          <w:trHeight w:val="340"/>
        </w:trPr>
        <w:tc>
          <w:tcPr>
            <w:tcW w:w="2812" w:type="dxa"/>
          </w:tcPr>
          <w:p w14:paraId="4EE0A836" w14:textId="0AC49E7F" w:rsidR="001417D1" w:rsidRPr="00B12C81" w:rsidRDefault="00E26C41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/>
                <w:noProof/>
                <w:sz w:val="24"/>
                <w:szCs w:val="24"/>
              </w:rPr>
              <w:t>Version</w:t>
            </w:r>
          </w:p>
        </w:tc>
        <w:tc>
          <w:tcPr>
            <w:tcW w:w="2858" w:type="dxa"/>
          </w:tcPr>
          <w:p w14:paraId="1BA1F497" w14:textId="11B1AF04" w:rsidR="001417D1" w:rsidRPr="00B12C81" w:rsidRDefault="00925F11" w:rsidP="00B5081D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</w:t>
            </w:r>
          </w:p>
        </w:tc>
      </w:tr>
    </w:tbl>
    <w:p w14:paraId="7A50A668" w14:textId="77777777" w:rsidR="001417D1" w:rsidRDefault="001417D1" w:rsidP="001417D1">
      <w:pPr>
        <w:jc w:val="both"/>
        <w:rPr>
          <w:rFonts w:ascii="Arial" w:hAnsi="Arial" w:cs="Arial"/>
          <w:b/>
          <w:bCs/>
        </w:rPr>
      </w:pPr>
    </w:p>
    <w:p w14:paraId="3D4FFC33" w14:textId="75D4C0ED" w:rsidR="002B3FBF" w:rsidRPr="002B3FBF" w:rsidRDefault="002B3FBF" w:rsidP="002B3FBF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2B3FBF">
        <w:rPr>
          <w:rFonts w:ascii="Arial" w:hAnsi="Arial" w:cs="Arial"/>
          <w:b/>
          <w:bCs/>
          <w:color w:val="7030A0"/>
        </w:rPr>
        <w:t>1</w:t>
      </w:r>
      <w:r w:rsidR="0063448F">
        <w:rPr>
          <w:rFonts w:ascii="Arial" w:hAnsi="Arial" w:cs="Arial"/>
          <w:b/>
          <w:bCs/>
          <w:color w:val="7030A0"/>
        </w:rPr>
        <w:t>.</w:t>
      </w:r>
      <w:r w:rsidRPr="002B3FBF">
        <w:rPr>
          <w:rFonts w:ascii="Arial" w:hAnsi="Arial" w:cs="Arial"/>
          <w:b/>
          <w:bCs/>
        </w:rPr>
        <w:t xml:space="preserve"> </w:t>
      </w:r>
      <w:r w:rsidRPr="002B3FBF">
        <w:rPr>
          <w:rFonts w:ascii="Arial" w:hAnsi="Arial" w:cs="Arial"/>
          <w:b/>
          <w:bCs/>
          <w:color w:val="7030A0"/>
          <w:sz w:val="28"/>
          <w:szCs w:val="28"/>
        </w:rPr>
        <w:t>Introduction</w:t>
      </w:r>
    </w:p>
    <w:p w14:paraId="408B0E56" w14:textId="6FE46A48" w:rsidR="002B3FBF" w:rsidRPr="0063448F" w:rsidRDefault="002B3FBF" w:rsidP="002B3FBF">
      <w:p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Henley</w:t>
      </w:r>
      <w:r w:rsidRPr="0063448F">
        <w:rPr>
          <w:rFonts w:ascii="Arial" w:hAnsi="Arial" w:cs="Arial"/>
        </w:rPr>
        <w:noBreakHyphen/>
        <w:t>in</w:t>
      </w:r>
      <w:r w:rsidRPr="0063448F">
        <w:rPr>
          <w:rFonts w:ascii="Arial" w:hAnsi="Arial" w:cs="Arial"/>
        </w:rPr>
        <w:noBreakHyphen/>
        <w:t>Arden Joint Parish Council (</w:t>
      </w:r>
      <w:r w:rsidR="0063448F">
        <w:rPr>
          <w:rFonts w:ascii="Arial" w:hAnsi="Arial" w:cs="Arial"/>
        </w:rPr>
        <w:t xml:space="preserve">JPC) </w:t>
      </w:r>
      <w:r w:rsidRPr="0063448F">
        <w:rPr>
          <w:rFonts w:ascii="Arial" w:hAnsi="Arial" w:cs="Arial"/>
        </w:rPr>
        <w:t xml:space="preserve">is committed to protecting your personal data and respecting your privacy. This Privacy Notice explains how the </w:t>
      </w:r>
      <w:r w:rsidR="0063448F">
        <w:rPr>
          <w:rFonts w:ascii="Arial" w:hAnsi="Arial" w:cs="Arial"/>
        </w:rPr>
        <w:t>c</w:t>
      </w:r>
      <w:r w:rsidRPr="0063448F">
        <w:rPr>
          <w:rFonts w:ascii="Arial" w:hAnsi="Arial" w:cs="Arial"/>
        </w:rPr>
        <w:t>ouncil collects, uses, stores, and shares personal information in accordance with the UK General Data Protection Regulation (UK GDPR) and the Data Protection Act 2018.</w:t>
      </w:r>
    </w:p>
    <w:p w14:paraId="31B1E2F8" w14:textId="57992B92" w:rsidR="002B3FBF" w:rsidRPr="0063448F" w:rsidRDefault="002B3FBF" w:rsidP="002B3FBF">
      <w:p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 xml:space="preserve">The </w:t>
      </w:r>
      <w:r w:rsidR="0063448F">
        <w:rPr>
          <w:rFonts w:ascii="Arial" w:hAnsi="Arial" w:cs="Arial"/>
        </w:rPr>
        <w:t>c</w:t>
      </w:r>
      <w:r w:rsidRPr="0063448F">
        <w:rPr>
          <w:rFonts w:ascii="Arial" w:hAnsi="Arial" w:cs="Arial"/>
        </w:rPr>
        <w:t>ouncil is the Data Controller for the personal data it processes.</w:t>
      </w:r>
    </w:p>
    <w:p w14:paraId="105D02E3" w14:textId="28CE45FE" w:rsidR="002B3FBF" w:rsidRPr="002B3FBF" w:rsidRDefault="002B3FBF" w:rsidP="002B3FBF">
      <w:pPr>
        <w:jc w:val="both"/>
        <w:rPr>
          <w:rFonts w:ascii="Arial" w:hAnsi="Arial" w:cs="Arial"/>
          <w:b/>
          <w:bCs/>
        </w:rPr>
      </w:pPr>
    </w:p>
    <w:p w14:paraId="5B447A2E" w14:textId="77777777" w:rsidR="002B3FBF" w:rsidRPr="0063448F" w:rsidRDefault="002B3FBF" w:rsidP="002B3FBF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63448F">
        <w:rPr>
          <w:rFonts w:ascii="Arial" w:hAnsi="Arial" w:cs="Arial"/>
          <w:b/>
          <w:bCs/>
          <w:color w:val="7030A0"/>
          <w:sz w:val="28"/>
          <w:szCs w:val="28"/>
        </w:rPr>
        <w:t>2. What personal data we collect</w:t>
      </w:r>
    </w:p>
    <w:p w14:paraId="6D102DFF" w14:textId="77777777" w:rsidR="002B3FBF" w:rsidRPr="0063448F" w:rsidRDefault="002B3FBF" w:rsidP="002B3FBF">
      <w:p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The Council may collect and process the following categories of personal data:</w:t>
      </w:r>
    </w:p>
    <w:p w14:paraId="20C17012" w14:textId="77777777" w:rsidR="002B3FBF" w:rsidRPr="0063448F" w:rsidRDefault="002B3FBF" w:rsidP="002B3FB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Contact details (name, address, email, telephone number)</w:t>
      </w:r>
    </w:p>
    <w:p w14:paraId="37F533B0" w14:textId="77777777" w:rsidR="002B3FBF" w:rsidRPr="0063448F" w:rsidRDefault="002B3FBF" w:rsidP="002B3FB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Correspondence (letters, emails, forms, complaints, enquiries)</w:t>
      </w:r>
    </w:p>
    <w:p w14:paraId="54CCB5E9" w14:textId="77777777" w:rsidR="002B3FBF" w:rsidRPr="0063448F" w:rsidRDefault="002B3FBF" w:rsidP="002B3FB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Electoral information (for verifying eligibility to participate in council matters)</w:t>
      </w:r>
    </w:p>
    <w:p w14:paraId="4C6B96B7" w14:textId="77777777" w:rsidR="002B3FBF" w:rsidRPr="0063448F" w:rsidRDefault="002B3FBF" w:rsidP="002B3FB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Allotment tenancy information</w:t>
      </w:r>
    </w:p>
    <w:p w14:paraId="5681D9F9" w14:textId="77777777" w:rsidR="002B3FBF" w:rsidRPr="0063448F" w:rsidRDefault="002B3FBF" w:rsidP="002B3FB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lastRenderedPageBreak/>
        <w:t>Contractor and supplier information</w:t>
      </w:r>
    </w:p>
    <w:p w14:paraId="4E940A16" w14:textId="77777777" w:rsidR="002B3FBF" w:rsidRPr="0063448F" w:rsidRDefault="002B3FBF" w:rsidP="002B3FB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Employee and councillor information (as required for statutory functions)</w:t>
      </w:r>
    </w:p>
    <w:p w14:paraId="2053C5A9" w14:textId="77777777" w:rsidR="002B3FBF" w:rsidRPr="0063448F" w:rsidRDefault="002B3FBF" w:rsidP="002B3FB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Website or social media enquiries</w:t>
      </w:r>
    </w:p>
    <w:p w14:paraId="48D2ABCD" w14:textId="77777777" w:rsidR="002B3FBF" w:rsidRPr="0063448F" w:rsidRDefault="002B3FBF" w:rsidP="002B3FB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Financial information (only where necessary, e.g., payments or grants)</w:t>
      </w:r>
    </w:p>
    <w:p w14:paraId="5515B548" w14:textId="77777777" w:rsidR="002B3FBF" w:rsidRPr="0063448F" w:rsidRDefault="002B3FBF" w:rsidP="002B3FBF">
      <w:p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The Council does not routinely process special category data unless legally required.</w:t>
      </w:r>
    </w:p>
    <w:p w14:paraId="3CD874E1" w14:textId="40F3E223" w:rsidR="002B3FBF" w:rsidRPr="002B3FBF" w:rsidRDefault="002B3FBF" w:rsidP="002B3FBF">
      <w:pPr>
        <w:jc w:val="both"/>
        <w:rPr>
          <w:rFonts w:ascii="Arial" w:hAnsi="Arial" w:cs="Arial"/>
          <w:b/>
          <w:bCs/>
        </w:rPr>
      </w:pPr>
    </w:p>
    <w:p w14:paraId="5708C0E4" w14:textId="77777777" w:rsidR="002B3FBF" w:rsidRPr="0063448F" w:rsidRDefault="002B3FBF" w:rsidP="002B3FBF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63448F">
        <w:rPr>
          <w:rFonts w:ascii="Arial" w:hAnsi="Arial" w:cs="Arial"/>
          <w:b/>
          <w:bCs/>
          <w:color w:val="7030A0"/>
          <w:sz w:val="28"/>
          <w:szCs w:val="28"/>
        </w:rPr>
        <w:t>3. Why we collect your data (lawful bases)</w:t>
      </w:r>
    </w:p>
    <w:p w14:paraId="05DCCCEA" w14:textId="432172A1" w:rsidR="002B3FBF" w:rsidRPr="0063448F" w:rsidRDefault="002B3FBF" w:rsidP="002B3FBF">
      <w:p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 xml:space="preserve">The </w:t>
      </w:r>
      <w:r w:rsidR="0063448F">
        <w:rPr>
          <w:rFonts w:ascii="Arial" w:hAnsi="Arial" w:cs="Arial"/>
        </w:rPr>
        <w:t>JPC</w:t>
      </w:r>
      <w:r w:rsidRPr="0063448F">
        <w:rPr>
          <w:rFonts w:ascii="Arial" w:hAnsi="Arial" w:cs="Arial"/>
        </w:rPr>
        <w:t xml:space="preserve"> processes personal data under the following lawful bases:</w:t>
      </w:r>
    </w:p>
    <w:p w14:paraId="02ADD792" w14:textId="77777777" w:rsidR="002B3FBF" w:rsidRPr="0063448F" w:rsidRDefault="002B3FBF" w:rsidP="002B3FBF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Public task – to carry out our statutory functions and duties</w:t>
      </w:r>
    </w:p>
    <w:p w14:paraId="6233B61B" w14:textId="77777777" w:rsidR="002B3FBF" w:rsidRPr="0063448F" w:rsidRDefault="002B3FBF" w:rsidP="002B3FBF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Legal obligation – to comply with legislation (e.g., financial, audit, employment, FOI/EIR)</w:t>
      </w:r>
    </w:p>
    <w:p w14:paraId="74DE213E" w14:textId="77777777" w:rsidR="002B3FBF" w:rsidRPr="0063448F" w:rsidRDefault="002B3FBF" w:rsidP="002B3FBF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Contract – where processing is necessary for a contract or tenancy</w:t>
      </w:r>
    </w:p>
    <w:p w14:paraId="08AE4CE6" w14:textId="77777777" w:rsidR="002B3FBF" w:rsidRPr="0063448F" w:rsidRDefault="002B3FBF" w:rsidP="002B3FBF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Consent – where you have given clear permission (e.g., mailing lists)</w:t>
      </w:r>
    </w:p>
    <w:p w14:paraId="21C8D352" w14:textId="77777777" w:rsidR="002B3FBF" w:rsidRPr="0063448F" w:rsidRDefault="002B3FBF" w:rsidP="002B3FBF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Legitimate interests – for activities reasonably expected as part of council operations</w:t>
      </w:r>
    </w:p>
    <w:p w14:paraId="305FBA5F" w14:textId="753751E4" w:rsidR="002B3FBF" w:rsidRPr="002B3FBF" w:rsidRDefault="002B3FBF" w:rsidP="002B3FBF">
      <w:pPr>
        <w:jc w:val="both"/>
        <w:rPr>
          <w:rFonts w:ascii="Arial" w:hAnsi="Arial" w:cs="Arial"/>
          <w:b/>
          <w:bCs/>
        </w:rPr>
      </w:pPr>
    </w:p>
    <w:p w14:paraId="637D9039" w14:textId="77777777" w:rsidR="002B3FBF" w:rsidRPr="0063448F" w:rsidRDefault="002B3FBF" w:rsidP="002B3FBF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63448F">
        <w:rPr>
          <w:rFonts w:ascii="Arial" w:hAnsi="Arial" w:cs="Arial"/>
          <w:b/>
          <w:bCs/>
          <w:color w:val="7030A0"/>
          <w:sz w:val="28"/>
          <w:szCs w:val="28"/>
        </w:rPr>
        <w:t>4. How we use your data</w:t>
      </w:r>
    </w:p>
    <w:p w14:paraId="6312C002" w14:textId="77777777" w:rsidR="002B3FBF" w:rsidRPr="0063448F" w:rsidRDefault="002B3FBF" w:rsidP="002B3FBF">
      <w:p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We use your personal data to:</w:t>
      </w:r>
    </w:p>
    <w:p w14:paraId="615CFCBE" w14:textId="77777777" w:rsidR="002B3FBF" w:rsidRPr="0063448F" w:rsidRDefault="002B3FBF" w:rsidP="002B3FB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respond to enquiries, complaints, and service requests</w:t>
      </w:r>
    </w:p>
    <w:p w14:paraId="4758F411" w14:textId="77777777" w:rsidR="002B3FBF" w:rsidRPr="0063448F" w:rsidRDefault="002B3FBF" w:rsidP="002B3FB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manage allotment tenancies</w:t>
      </w:r>
    </w:p>
    <w:p w14:paraId="3A98115C" w14:textId="77777777" w:rsidR="002B3FBF" w:rsidRPr="0063448F" w:rsidRDefault="002B3FBF" w:rsidP="002B3FB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administer council meetings, agendas, and minutes</w:t>
      </w:r>
    </w:p>
    <w:p w14:paraId="76DEC073" w14:textId="77777777" w:rsidR="002B3FBF" w:rsidRPr="0063448F" w:rsidRDefault="002B3FBF" w:rsidP="002B3FB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manage contracts, procurement, and payments</w:t>
      </w:r>
    </w:p>
    <w:p w14:paraId="5A89E74C" w14:textId="77777777" w:rsidR="002B3FBF" w:rsidRPr="0063448F" w:rsidRDefault="002B3FBF" w:rsidP="002B3FB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comply with audit and financial regulations</w:t>
      </w:r>
    </w:p>
    <w:p w14:paraId="777B419F" w14:textId="77777777" w:rsidR="002B3FBF" w:rsidRPr="0063448F" w:rsidRDefault="002B3FBF" w:rsidP="002B3FB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maintain statutory registers</w:t>
      </w:r>
    </w:p>
    <w:p w14:paraId="4E9169FF" w14:textId="77777777" w:rsidR="002B3FBF" w:rsidRPr="0063448F" w:rsidRDefault="002B3FBF" w:rsidP="002B3FB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63448F">
        <w:rPr>
          <w:rFonts w:ascii="Arial" w:hAnsi="Arial" w:cs="Arial"/>
        </w:rPr>
        <w:t>communicate with residents and stakeholders</w:t>
      </w:r>
    </w:p>
    <w:p w14:paraId="3B9C3194" w14:textId="77777777" w:rsidR="002B3FBF" w:rsidRPr="002B3FBF" w:rsidRDefault="002B3FBF" w:rsidP="002B3FBF">
      <w:pPr>
        <w:numPr>
          <w:ilvl w:val="0"/>
          <w:numId w:val="18"/>
        </w:numPr>
        <w:jc w:val="both"/>
        <w:rPr>
          <w:rFonts w:ascii="Arial" w:hAnsi="Arial" w:cs="Arial"/>
          <w:b/>
          <w:bCs/>
        </w:rPr>
      </w:pPr>
      <w:r w:rsidRPr="0063448F">
        <w:rPr>
          <w:rFonts w:ascii="Arial" w:hAnsi="Arial" w:cs="Arial"/>
        </w:rPr>
        <w:t>meet legal and regulatory obligations</w:t>
      </w:r>
    </w:p>
    <w:p w14:paraId="7226E1B7" w14:textId="08495CE6" w:rsidR="002B3FBF" w:rsidRPr="002B3FBF" w:rsidRDefault="002B3FBF" w:rsidP="002B3FBF">
      <w:pPr>
        <w:jc w:val="both"/>
        <w:rPr>
          <w:rFonts w:ascii="Arial" w:hAnsi="Arial" w:cs="Arial"/>
          <w:b/>
          <w:bCs/>
        </w:rPr>
      </w:pPr>
    </w:p>
    <w:p w14:paraId="58AE1959" w14:textId="77777777" w:rsidR="002B3FBF" w:rsidRPr="00350D7C" w:rsidRDefault="002B3FBF" w:rsidP="002B3FBF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350D7C">
        <w:rPr>
          <w:rFonts w:ascii="Arial" w:hAnsi="Arial" w:cs="Arial"/>
          <w:b/>
          <w:bCs/>
          <w:color w:val="7030A0"/>
          <w:sz w:val="28"/>
          <w:szCs w:val="28"/>
        </w:rPr>
        <w:t>5. Who we share your data with</w:t>
      </w:r>
    </w:p>
    <w:p w14:paraId="2A0F4C84" w14:textId="77777777" w:rsidR="002B3FBF" w:rsidRPr="00350D7C" w:rsidRDefault="002B3FBF" w:rsidP="002B3FBF">
      <w:p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The Council may share your data with:</w:t>
      </w:r>
    </w:p>
    <w:p w14:paraId="27F72DFC" w14:textId="77777777" w:rsidR="002B3FBF" w:rsidRPr="00350D7C" w:rsidRDefault="002B3FBF" w:rsidP="002B3FBF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lastRenderedPageBreak/>
        <w:t>Statutory bodies (e.g., auditors, HMRC, Monitoring Officer)</w:t>
      </w:r>
    </w:p>
    <w:p w14:paraId="50ABE1B4" w14:textId="77777777" w:rsidR="002B3FBF" w:rsidRPr="00350D7C" w:rsidRDefault="002B3FBF" w:rsidP="002B3FBF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Service providers and contractors working on behalf of the Council</w:t>
      </w:r>
    </w:p>
    <w:p w14:paraId="6CFEA954" w14:textId="77777777" w:rsidR="002B3FBF" w:rsidRPr="00350D7C" w:rsidRDefault="002B3FBF" w:rsidP="002B3FBF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Other public authorities where legally required</w:t>
      </w:r>
    </w:p>
    <w:p w14:paraId="00B2EDC9" w14:textId="77777777" w:rsidR="002B3FBF" w:rsidRPr="00350D7C" w:rsidRDefault="002B3FBF" w:rsidP="002B3FBF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Councillors, where necessary to respond to your enquiry or carry out council business</w:t>
      </w:r>
    </w:p>
    <w:p w14:paraId="6B58EBA5" w14:textId="77777777" w:rsidR="002B3FBF" w:rsidRPr="002B3FBF" w:rsidRDefault="002B3FBF" w:rsidP="002B3FBF">
      <w:pPr>
        <w:jc w:val="both"/>
        <w:rPr>
          <w:rFonts w:ascii="Arial" w:hAnsi="Arial" w:cs="Arial"/>
          <w:b/>
          <w:bCs/>
        </w:rPr>
      </w:pPr>
      <w:r w:rsidRPr="00350D7C">
        <w:rPr>
          <w:rFonts w:ascii="Arial" w:hAnsi="Arial" w:cs="Arial"/>
        </w:rPr>
        <w:t>We do not sell or pass your data to third parties for marketing.</w:t>
      </w:r>
    </w:p>
    <w:p w14:paraId="4D54F88D" w14:textId="71E31E0F" w:rsidR="002B3FBF" w:rsidRPr="002B3FBF" w:rsidRDefault="002B3FBF" w:rsidP="002B3FBF">
      <w:pPr>
        <w:jc w:val="both"/>
        <w:rPr>
          <w:rFonts w:ascii="Arial" w:hAnsi="Arial" w:cs="Arial"/>
          <w:b/>
          <w:bCs/>
        </w:rPr>
      </w:pPr>
    </w:p>
    <w:p w14:paraId="4FD015E9" w14:textId="77777777" w:rsidR="002B3FBF" w:rsidRPr="00350D7C" w:rsidRDefault="002B3FBF" w:rsidP="002B3FBF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350D7C">
        <w:rPr>
          <w:rFonts w:ascii="Arial" w:hAnsi="Arial" w:cs="Arial"/>
          <w:b/>
          <w:bCs/>
          <w:color w:val="7030A0"/>
          <w:sz w:val="28"/>
          <w:szCs w:val="28"/>
        </w:rPr>
        <w:t>6. How long we keep your data</w:t>
      </w:r>
    </w:p>
    <w:p w14:paraId="7CE55991" w14:textId="77777777" w:rsidR="002B3FBF" w:rsidRPr="00350D7C" w:rsidRDefault="002B3FBF" w:rsidP="002B3FBF">
      <w:p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Personal data is retained in accordance with:</w:t>
      </w:r>
    </w:p>
    <w:p w14:paraId="05AA0C49" w14:textId="77777777" w:rsidR="002B3FBF" w:rsidRPr="00350D7C" w:rsidRDefault="002B3FBF" w:rsidP="002B3FB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statutory requirements</w:t>
      </w:r>
    </w:p>
    <w:p w14:paraId="67A602B1" w14:textId="77777777" w:rsidR="002B3FBF" w:rsidRPr="00350D7C" w:rsidRDefault="002B3FBF" w:rsidP="002B3FB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the Council’s retention schedule</w:t>
      </w:r>
    </w:p>
    <w:p w14:paraId="66C226A7" w14:textId="77777777" w:rsidR="002B3FBF" w:rsidRPr="00350D7C" w:rsidRDefault="002B3FBF" w:rsidP="002B3FB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guidance from the National Archives and the ICO</w:t>
      </w:r>
    </w:p>
    <w:p w14:paraId="4151B327" w14:textId="77777777" w:rsidR="002B3FBF" w:rsidRPr="00350D7C" w:rsidRDefault="002B3FBF" w:rsidP="002B3FBF">
      <w:p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Data is kept only for as long as necessary to fulfil the purpose for which it was collected.</w:t>
      </w:r>
    </w:p>
    <w:p w14:paraId="7652BAE1" w14:textId="1F4E4377" w:rsidR="002B3FBF" w:rsidRPr="002B3FBF" w:rsidRDefault="002B3FBF" w:rsidP="002B3FBF">
      <w:pPr>
        <w:jc w:val="both"/>
        <w:rPr>
          <w:rFonts w:ascii="Arial" w:hAnsi="Arial" w:cs="Arial"/>
          <w:b/>
          <w:bCs/>
        </w:rPr>
      </w:pPr>
    </w:p>
    <w:p w14:paraId="5ED8302A" w14:textId="77777777" w:rsidR="002B3FBF" w:rsidRPr="00350D7C" w:rsidRDefault="002B3FBF" w:rsidP="002B3FBF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350D7C">
        <w:rPr>
          <w:rFonts w:ascii="Arial" w:hAnsi="Arial" w:cs="Arial"/>
          <w:b/>
          <w:bCs/>
          <w:color w:val="7030A0"/>
          <w:sz w:val="28"/>
          <w:szCs w:val="28"/>
        </w:rPr>
        <w:t>7. Your rights</w:t>
      </w:r>
    </w:p>
    <w:p w14:paraId="26BCA0CA" w14:textId="77777777" w:rsidR="002B3FBF" w:rsidRPr="00350D7C" w:rsidRDefault="002B3FBF" w:rsidP="002B3FBF">
      <w:p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You have the following rights under UK GDPR:</w:t>
      </w:r>
    </w:p>
    <w:p w14:paraId="2D711D95" w14:textId="77777777" w:rsidR="002B3FBF" w:rsidRPr="00350D7C" w:rsidRDefault="002B3FBF" w:rsidP="002B3FB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Right of access (to request your personal data)</w:t>
      </w:r>
    </w:p>
    <w:p w14:paraId="67889972" w14:textId="77777777" w:rsidR="002B3FBF" w:rsidRPr="00350D7C" w:rsidRDefault="002B3FBF" w:rsidP="002B3FB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Right to rectification</w:t>
      </w:r>
    </w:p>
    <w:p w14:paraId="7E738CB7" w14:textId="77777777" w:rsidR="002B3FBF" w:rsidRPr="00350D7C" w:rsidRDefault="002B3FBF" w:rsidP="002B3FB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Right to erasure (in certain circumstances)</w:t>
      </w:r>
    </w:p>
    <w:p w14:paraId="31EA54AC" w14:textId="77777777" w:rsidR="002B3FBF" w:rsidRPr="00350D7C" w:rsidRDefault="002B3FBF" w:rsidP="002B3FB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Right to restrict processing</w:t>
      </w:r>
    </w:p>
    <w:p w14:paraId="05BF1EA2" w14:textId="77777777" w:rsidR="002B3FBF" w:rsidRPr="00350D7C" w:rsidRDefault="002B3FBF" w:rsidP="002B3FB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Right to object</w:t>
      </w:r>
    </w:p>
    <w:p w14:paraId="1006DFA8" w14:textId="77777777" w:rsidR="002B3FBF" w:rsidRPr="00350D7C" w:rsidRDefault="002B3FBF" w:rsidP="002B3FB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Right to data portability (where applicable)</w:t>
      </w:r>
    </w:p>
    <w:p w14:paraId="72BEE959" w14:textId="77777777" w:rsidR="002B3FBF" w:rsidRPr="00350D7C" w:rsidRDefault="002B3FBF" w:rsidP="002B3FB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Right to withdraw consent (where consent is the lawful basis)</w:t>
      </w:r>
    </w:p>
    <w:p w14:paraId="210AF9D0" w14:textId="77777777" w:rsidR="002B3FBF" w:rsidRPr="00350D7C" w:rsidRDefault="002B3FBF" w:rsidP="002B3FBF">
      <w:p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>To exercise your rights, contact the Clerk using the details below.</w:t>
      </w:r>
    </w:p>
    <w:p w14:paraId="3D1E6B6B" w14:textId="13ADA451" w:rsidR="002B3FBF" w:rsidRPr="002B3FBF" w:rsidRDefault="002B3FBF" w:rsidP="002B3FBF">
      <w:pPr>
        <w:jc w:val="both"/>
        <w:rPr>
          <w:rFonts w:ascii="Arial" w:hAnsi="Arial" w:cs="Arial"/>
          <w:b/>
          <w:bCs/>
        </w:rPr>
      </w:pPr>
    </w:p>
    <w:p w14:paraId="530BACF4" w14:textId="77777777" w:rsidR="002B3FBF" w:rsidRPr="00350D7C" w:rsidRDefault="002B3FBF" w:rsidP="002B3FBF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350D7C">
        <w:rPr>
          <w:rFonts w:ascii="Arial" w:hAnsi="Arial" w:cs="Arial"/>
          <w:b/>
          <w:bCs/>
          <w:color w:val="7030A0"/>
          <w:sz w:val="28"/>
          <w:szCs w:val="28"/>
        </w:rPr>
        <w:t>8. How to make a Subject Access Request (SAR)</w:t>
      </w:r>
    </w:p>
    <w:p w14:paraId="01F6F89E" w14:textId="0D3F1CD0" w:rsidR="002B3FBF" w:rsidRPr="00350D7C" w:rsidRDefault="002B3FBF" w:rsidP="002B3FBF">
      <w:pPr>
        <w:jc w:val="both"/>
        <w:rPr>
          <w:rFonts w:ascii="Arial" w:hAnsi="Arial" w:cs="Arial"/>
        </w:rPr>
      </w:pPr>
      <w:r w:rsidRPr="00350D7C">
        <w:rPr>
          <w:rFonts w:ascii="Arial" w:hAnsi="Arial" w:cs="Arial"/>
        </w:rPr>
        <w:t xml:space="preserve">You may request a copy of the personal data the Council holds about you by writing to the </w:t>
      </w:r>
      <w:r w:rsidR="00350D7C">
        <w:rPr>
          <w:rFonts w:ascii="Arial" w:hAnsi="Arial" w:cs="Arial"/>
        </w:rPr>
        <w:t>c</w:t>
      </w:r>
      <w:r w:rsidRPr="00350D7C">
        <w:rPr>
          <w:rFonts w:ascii="Arial" w:hAnsi="Arial" w:cs="Arial"/>
        </w:rPr>
        <w:t xml:space="preserve">lerk. The </w:t>
      </w:r>
      <w:r w:rsidR="00350D7C">
        <w:rPr>
          <w:rFonts w:ascii="Arial" w:hAnsi="Arial" w:cs="Arial"/>
        </w:rPr>
        <w:t xml:space="preserve">JPC </w:t>
      </w:r>
      <w:r w:rsidRPr="00350D7C">
        <w:rPr>
          <w:rFonts w:ascii="Arial" w:hAnsi="Arial" w:cs="Arial"/>
        </w:rPr>
        <w:t>will respond within one month, or up to three months for complex requests, in accordance with UK GDPR.</w:t>
      </w:r>
    </w:p>
    <w:p w14:paraId="7AAC6F0E" w14:textId="596444A3" w:rsidR="002B3FBF" w:rsidRPr="00350D7C" w:rsidRDefault="002B3FBF" w:rsidP="002B3FBF">
      <w:pPr>
        <w:jc w:val="both"/>
        <w:rPr>
          <w:rFonts w:ascii="Arial" w:hAnsi="Arial" w:cs="Arial"/>
        </w:rPr>
      </w:pPr>
    </w:p>
    <w:p w14:paraId="442D6BFE" w14:textId="77777777" w:rsidR="002B3FBF" w:rsidRPr="0060665D" w:rsidRDefault="002B3FBF" w:rsidP="002B3FBF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60665D">
        <w:rPr>
          <w:rFonts w:ascii="Arial" w:hAnsi="Arial" w:cs="Arial"/>
          <w:b/>
          <w:bCs/>
          <w:color w:val="7030A0"/>
          <w:sz w:val="28"/>
          <w:szCs w:val="28"/>
        </w:rPr>
        <w:t>9. How we protect your data</w:t>
      </w:r>
    </w:p>
    <w:p w14:paraId="1D94BC14" w14:textId="77777777" w:rsidR="002B3FBF" w:rsidRPr="0060665D" w:rsidRDefault="002B3FBF" w:rsidP="002B3FBF">
      <w:pPr>
        <w:jc w:val="both"/>
        <w:rPr>
          <w:rFonts w:ascii="Arial" w:hAnsi="Arial" w:cs="Arial"/>
        </w:rPr>
      </w:pPr>
      <w:r w:rsidRPr="0060665D">
        <w:rPr>
          <w:rFonts w:ascii="Arial" w:hAnsi="Arial" w:cs="Arial"/>
        </w:rPr>
        <w:t>The Council uses appropriate technical and organisational measures to protect personal data, including secure storage, access controls, and data minimisation.</w:t>
      </w:r>
    </w:p>
    <w:p w14:paraId="6E0005B5" w14:textId="76AA02EB" w:rsidR="002B3FBF" w:rsidRPr="002B3FBF" w:rsidRDefault="002B3FBF" w:rsidP="002B3FBF">
      <w:pPr>
        <w:jc w:val="both"/>
        <w:rPr>
          <w:rFonts w:ascii="Arial" w:hAnsi="Arial" w:cs="Arial"/>
          <w:b/>
          <w:bCs/>
        </w:rPr>
      </w:pPr>
    </w:p>
    <w:p w14:paraId="11E7E4AC" w14:textId="77777777" w:rsidR="002B3FBF" w:rsidRPr="0060665D" w:rsidRDefault="002B3FBF" w:rsidP="002B3FBF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60665D">
        <w:rPr>
          <w:rFonts w:ascii="Arial" w:hAnsi="Arial" w:cs="Arial"/>
          <w:b/>
          <w:bCs/>
          <w:color w:val="7030A0"/>
          <w:sz w:val="28"/>
          <w:szCs w:val="28"/>
        </w:rPr>
        <w:t>10. Contact details</w:t>
      </w:r>
    </w:p>
    <w:p w14:paraId="083C4DF7" w14:textId="43A703C0" w:rsidR="002B3FBF" w:rsidRPr="0038753E" w:rsidRDefault="002B3FBF" w:rsidP="0060665D">
      <w:pPr>
        <w:rPr>
          <w:rFonts w:ascii="Arial" w:hAnsi="Arial" w:cs="Arial"/>
        </w:rPr>
      </w:pPr>
      <w:r w:rsidRPr="0038753E">
        <w:rPr>
          <w:rFonts w:ascii="Arial" w:hAnsi="Arial" w:cs="Arial"/>
        </w:rPr>
        <w:t xml:space="preserve">Clerk &amp; Responsible Financial Officer </w:t>
      </w:r>
      <w:r w:rsidRPr="0038753E">
        <w:rPr>
          <w:rFonts w:ascii="Arial" w:hAnsi="Arial" w:cs="Arial"/>
        </w:rPr>
        <w:br/>
        <w:t>Henley</w:t>
      </w:r>
      <w:r w:rsidRPr="0038753E">
        <w:rPr>
          <w:rFonts w:ascii="Arial" w:hAnsi="Arial" w:cs="Arial"/>
        </w:rPr>
        <w:noBreakHyphen/>
        <w:t>in</w:t>
      </w:r>
      <w:r w:rsidRPr="0038753E">
        <w:rPr>
          <w:rFonts w:ascii="Arial" w:hAnsi="Arial" w:cs="Arial"/>
        </w:rPr>
        <w:noBreakHyphen/>
        <w:t>Arden Joint Parish Council</w:t>
      </w:r>
      <w:r w:rsidRPr="0038753E">
        <w:rPr>
          <w:rFonts w:ascii="Arial" w:hAnsi="Arial" w:cs="Arial"/>
        </w:rPr>
        <w:br/>
        <w:t xml:space="preserve">Email: </w:t>
      </w:r>
      <w:r w:rsidR="0060665D" w:rsidRPr="0038753E">
        <w:rPr>
          <w:rFonts w:ascii="Arial" w:hAnsi="Arial" w:cs="Arial"/>
          <w:i/>
          <w:iCs/>
        </w:rPr>
        <w:t>clerk@henley-in-arden-pc.gov.uk</w:t>
      </w:r>
    </w:p>
    <w:p w14:paraId="0C87A80B" w14:textId="60554E3A" w:rsidR="002B3FBF" w:rsidRPr="002B3FBF" w:rsidRDefault="002B3FBF" w:rsidP="0060665D">
      <w:pPr>
        <w:rPr>
          <w:rFonts w:ascii="Arial" w:hAnsi="Arial" w:cs="Arial"/>
          <w:b/>
          <w:bCs/>
        </w:rPr>
      </w:pPr>
    </w:p>
    <w:p w14:paraId="4B466106" w14:textId="77777777" w:rsidR="002B3FBF" w:rsidRPr="0060665D" w:rsidRDefault="002B3FBF" w:rsidP="002B3FBF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60665D">
        <w:rPr>
          <w:rFonts w:ascii="Arial" w:hAnsi="Arial" w:cs="Arial"/>
          <w:b/>
          <w:bCs/>
          <w:color w:val="7030A0"/>
          <w:sz w:val="28"/>
          <w:szCs w:val="28"/>
        </w:rPr>
        <w:t>11. Complaints</w:t>
      </w:r>
    </w:p>
    <w:p w14:paraId="6604F167" w14:textId="77777777" w:rsidR="002B3FBF" w:rsidRPr="0060665D" w:rsidRDefault="002B3FBF" w:rsidP="0060665D">
      <w:pPr>
        <w:rPr>
          <w:rFonts w:ascii="Arial" w:hAnsi="Arial" w:cs="Arial"/>
        </w:rPr>
      </w:pPr>
      <w:r w:rsidRPr="0060665D">
        <w:rPr>
          <w:rFonts w:ascii="Arial" w:hAnsi="Arial" w:cs="Arial"/>
        </w:rPr>
        <w:t>If you have concerns about how your data is handled, you may contact:</w:t>
      </w:r>
    </w:p>
    <w:p w14:paraId="66ADEE88" w14:textId="77777777" w:rsidR="002B3FBF" w:rsidRPr="0060665D" w:rsidRDefault="002B3FBF" w:rsidP="0060665D">
      <w:pPr>
        <w:rPr>
          <w:rFonts w:ascii="Arial" w:hAnsi="Arial" w:cs="Arial"/>
        </w:rPr>
      </w:pPr>
      <w:r w:rsidRPr="0060665D">
        <w:rPr>
          <w:rFonts w:ascii="Arial" w:hAnsi="Arial" w:cs="Arial"/>
        </w:rPr>
        <w:t xml:space="preserve">Information Commissioner’s Office (ICO) </w:t>
      </w:r>
      <w:r w:rsidRPr="0060665D">
        <w:rPr>
          <w:rFonts w:ascii="Arial" w:hAnsi="Arial" w:cs="Arial"/>
        </w:rPr>
        <w:br/>
      </w:r>
      <w:hyperlink r:id="rId8" w:history="1">
        <w:r w:rsidRPr="0060665D">
          <w:rPr>
            <w:rStyle w:val="Hyperlink"/>
            <w:rFonts w:ascii="Arial" w:hAnsi="Arial" w:cs="Arial"/>
          </w:rPr>
          <w:t>www.ico.org.uk</w:t>
        </w:r>
      </w:hyperlink>
    </w:p>
    <w:p w14:paraId="39A4C9BF" w14:textId="1CF52585" w:rsidR="002B3FBF" w:rsidRPr="002B3FBF" w:rsidRDefault="002B3FBF" w:rsidP="0060665D">
      <w:pPr>
        <w:rPr>
          <w:rFonts w:ascii="Arial" w:hAnsi="Arial" w:cs="Arial"/>
          <w:b/>
          <w:bCs/>
        </w:rPr>
      </w:pPr>
    </w:p>
    <w:p w14:paraId="01DC8546" w14:textId="77777777" w:rsidR="002B3FBF" w:rsidRPr="0038753E" w:rsidRDefault="002B3FBF" w:rsidP="002B3FBF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38753E">
        <w:rPr>
          <w:rFonts w:ascii="Arial" w:hAnsi="Arial" w:cs="Arial"/>
          <w:b/>
          <w:bCs/>
          <w:color w:val="7030A0"/>
          <w:sz w:val="28"/>
          <w:szCs w:val="28"/>
        </w:rPr>
        <w:t>12. Updates to this Notice</w:t>
      </w:r>
    </w:p>
    <w:p w14:paraId="03F17C97" w14:textId="77777777" w:rsidR="002B3FBF" w:rsidRPr="0038753E" w:rsidRDefault="002B3FBF" w:rsidP="002B3FBF">
      <w:pPr>
        <w:jc w:val="both"/>
        <w:rPr>
          <w:rFonts w:ascii="Arial" w:hAnsi="Arial" w:cs="Arial"/>
        </w:rPr>
      </w:pPr>
      <w:r w:rsidRPr="0038753E">
        <w:rPr>
          <w:rFonts w:ascii="Arial" w:hAnsi="Arial" w:cs="Arial"/>
        </w:rPr>
        <w:t>This Privacy Notice may be updated periodically to reflect changes in legislation or council practices. The latest version will always be published on the Council’s website.</w:t>
      </w:r>
    </w:p>
    <w:p w14:paraId="62455C23" w14:textId="5E26BE3A" w:rsidR="002B3FBF" w:rsidRPr="002B3FBF" w:rsidRDefault="002B3FBF" w:rsidP="002B3FBF">
      <w:pPr>
        <w:jc w:val="both"/>
        <w:rPr>
          <w:rFonts w:ascii="Arial" w:hAnsi="Arial" w:cs="Arial"/>
          <w:b/>
          <w:bCs/>
        </w:rPr>
      </w:pPr>
    </w:p>
    <w:p w14:paraId="5FC3521F" w14:textId="77777777" w:rsidR="002B3FBF" w:rsidRPr="00B12C81" w:rsidRDefault="002B3FBF" w:rsidP="001417D1">
      <w:pPr>
        <w:jc w:val="both"/>
        <w:rPr>
          <w:rFonts w:ascii="Arial" w:hAnsi="Arial" w:cs="Arial"/>
          <w:b/>
          <w:bCs/>
        </w:rPr>
      </w:pPr>
    </w:p>
    <w:sectPr w:rsidR="002B3FBF" w:rsidRPr="00B12C8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DDA2" w14:textId="77777777" w:rsidR="00161F63" w:rsidRDefault="00161F63" w:rsidP="00B07BAD">
      <w:pPr>
        <w:spacing w:after="0" w:line="240" w:lineRule="auto"/>
      </w:pPr>
      <w:r>
        <w:separator/>
      </w:r>
    </w:p>
  </w:endnote>
  <w:endnote w:type="continuationSeparator" w:id="0">
    <w:p w14:paraId="2178CF02" w14:textId="77777777" w:rsidR="00161F63" w:rsidRDefault="00161F63" w:rsidP="00B0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Device Font 10cp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28FA" w14:textId="6C32EE1E" w:rsidR="00C24A59" w:rsidRDefault="0060665D" w:rsidP="00350D7C">
    <w:pPr>
      <w:pStyle w:val="Footer"/>
    </w:pPr>
    <w:r>
      <w:t>LAC</w:t>
    </w:r>
  </w:p>
  <w:p w14:paraId="2463ECF6" w14:textId="6E7C1BAB" w:rsidR="0060665D" w:rsidRPr="00350D7C" w:rsidRDefault="0060665D" w:rsidP="00350D7C">
    <w:pPr>
      <w:pStyle w:val="Footer"/>
    </w:pPr>
    <w:r>
      <w:t>28.04.2026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FC09" w14:textId="77777777" w:rsidR="00161F63" w:rsidRDefault="00161F63" w:rsidP="00B07BAD">
      <w:pPr>
        <w:spacing w:after="0" w:line="240" w:lineRule="auto"/>
      </w:pPr>
      <w:r>
        <w:separator/>
      </w:r>
    </w:p>
  </w:footnote>
  <w:footnote w:type="continuationSeparator" w:id="0">
    <w:p w14:paraId="50DF62B4" w14:textId="77777777" w:rsidR="00161F63" w:rsidRDefault="00161F63" w:rsidP="00B07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97C2" w14:textId="595FACFA" w:rsidR="00B07BAD" w:rsidRPr="00015C5A" w:rsidRDefault="00B07BAD" w:rsidP="00015C5A">
    <w:pPr>
      <w:pStyle w:val="Header"/>
      <w:jc w:val="center"/>
      <w:rPr>
        <w:rFonts w:ascii="Arial" w:hAnsi="Arial" w:cs="Arial"/>
        <w:sz w:val="22"/>
        <w:szCs w:val="22"/>
      </w:rPr>
    </w:pPr>
    <w:r w:rsidRPr="00015C5A">
      <w:rPr>
        <w:rFonts w:ascii="Arial" w:hAnsi="Arial" w:cs="Arial"/>
        <w:sz w:val="22"/>
        <w:szCs w:val="22"/>
      </w:rPr>
      <w:t xml:space="preserve">Beaudesert &amp; Henley-in-Arden JPC </w:t>
    </w:r>
    <w:r w:rsidR="00BF50FC">
      <w:rPr>
        <w:rFonts w:ascii="Arial" w:hAnsi="Arial" w:cs="Arial"/>
        <w:sz w:val="22"/>
        <w:szCs w:val="22"/>
      </w:rPr>
      <w:t>Privacy Notice</w:t>
    </w:r>
  </w:p>
  <w:p w14:paraId="5289E8E1" w14:textId="55212B8E" w:rsidR="00015C5A" w:rsidRPr="00015C5A" w:rsidRDefault="00015C5A" w:rsidP="00015C5A">
    <w:pPr>
      <w:pStyle w:val="Header"/>
      <w:jc w:val="center"/>
      <w:rPr>
        <w:rFonts w:ascii="Arial" w:hAnsi="Arial" w:cs="Arial"/>
        <w:sz w:val="22"/>
        <w:szCs w:val="22"/>
      </w:rPr>
    </w:pPr>
    <w:r w:rsidRPr="00015C5A">
      <w:rPr>
        <w:rFonts w:ascii="Arial" w:hAnsi="Arial" w:cs="Arial"/>
        <w:sz w:val="22"/>
        <w:szCs w:val="22"/>
      </w:rPr>
      <w:t xml:space="preserve">Version: </w:t>
    </w:r>
    <w:r w:rsidR="00BF50FC">
      <w:rPr>
        <w:rFonts w:ascii="Arial" w:hAnsi="Arial" w:cs="Arial"/>
        <w:sz w:val="22"/>
        <w:szCs w:val="22"/>
      </w:rPr>
      <w:t>1</w:t>
    </w:r>
    <w:r w:rsidRPr="00015C5A">
      <w:rPr>
        <w:rFonts w:ascii="Arial" w:hAnsi="Arial" w:cs="Arial"/>
        <w:sz w:val="22"/>
        <w:szCs w:val="22"/>
      </w:rPr>
      <w:t xml:space="preserve"> </w:t>
    </w:r>
    <w:r w:rsidR="00B453D5">
      <w:rPr>
        <w:rFonts w:ascii="Arial" w:hAnsi="Arial" w:cs="Arial"/>
        <w:sz w:val="22"/>
        <w:szCs w:val="22"/>
      </w:rPr>
      <w:tab/>
    </w:r>
    <w:r w:rsidRPr="00015C5A">
      <w:rPr>
        <w:rFonts w:ascii="Arial" w:hAnsi="Arial" w:cs="Arial"/>
        <w:sz w:val="22"/>
        <w:szCs w:val="22"/>
      </w:rPr>
      <w:t xml:space="preserve">Adopted: </w:t>
    </w:r>
    <w:r w:rsidR="00BF50FC">
      <w:rPr>
        <w:rFonts w:ascii="Arial" w:hAnsi="Arial" w:cs="Arial"/>
        <w:sz w:val="22"/>
        <w:szCs w:val="22"/>
      </w:rPr>
      <w:t>05.05.26</w:t>
    </w:r>
    <w:r w:rsidRPr="00015C5A">
      <w:rPr>
        <w:rFonts w:ascii="Arial" w:hAnsi="Arial" w:cs="Arial"/>
        <w:sz w:val="22"/>
        <w:szCs w:val="22"/>
      </w:rPr>
      <w:t xml:space="preserve">          Clerk: Lisa Cromwell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10E"/>
    <w:multiLevelType w:val="multilevel"/>
    <w:tmpl w:val="01F8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F6AF9"/>
    <w:multiLevelType w:val="multilevel"/>
    <w:tmpl w:val="3B94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36803"/>
    <w:multiLevelType w:val="hybridMultilevel"/>
    <w:tmpl w:val="F698E69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F5887"/>
    <w:multiLevelType w:val="multilevel"/>
    <w:tmpl w:val="DF18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E5569"/>
    <w:multiLevelType w:val="multilevel"/>
    <w:tmpl w:val="C08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66014"/>
    <w:multiLevelType w:val="multilevel"/>
    <w:tmpl w:val="5EAE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36AB1"/>
    <w:multiLevelType w:val="multilevel"/>
    <w:tmpl w:val="CA34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20CC6"/>
    <w:multiLevelType w:val="multilevel"/>
    <w:tmpl w:val="78F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E6476"/>
    <w:multiLevelType w:val="multilevel"/>
    <w:tmpl w:val="9830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41AAC"/>
    <w:multiLevelType w:val="multilevel"/>
    <w:tmpl w:val="CD7C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76E85"/>
    <w:multiLevelType w:val="multilevel"/>
    <w:tmpl w:val="83D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43190"/>
    <w:multiLevelType w:val="multilevel"/>
    <w:tmpl w:val="4584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F136A"/>
    <w:multiLevelType w:val="multilevel"/>
    <w:tmpl w:val="DBEE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5F7DEA"/>
    <w:multiLevelType w:val="multilevel"/>
    <w:tmpl w:val="C236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9F1918"/>
    <w:multiLevelType w:val="multilevel"/>
    <w:tmpl w:val="E6DA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6147C"/>
    <w:multiLevelType w:val="multilevel"/>
    <w:tmpl w:val="0E5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B2AF7"/>
    <w:multiLevelType w:val="multilevel"/>
    <w:tmpl w:val="FBE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61571F"/>
    <w:multiLevelType w:val="multilevel"/>
    <w:tmpl w:val="357E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A0431"/>
    <w:multiLevelType w:val="multilevel"/>
    <w:tmpl w:val="F9A0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767B8E"/>
    <w:multiLevelType w:val="multilevel"/>
    <w:tmpl w:val="75D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6D3685"/>
    <w:multiLevelType w:val="multilevel"/>
    <w:tmpl w:val="8928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96BB4"/>
    <w:multiLevelType w:val="multilevel"/>
    <w:tmpl w:val="62EA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362053">
    <w:abstractNumId w:val="4"/>
  </w:num>
  <w:num w:numId="2" w16cid:durableId="1283609778">
    <w:abstractNumId w:val="6"/>
  </w:num>
  <w:num w:numId="3" w16cid:durableId="546721875">
    <w:abstractNumId w:val="19"/>
  </w:num>
  <w:num w:numId="4" w16cid:durableId="229728100">
    <w:abstractNumId w:val="11"/>
  </w:num>
  <w:num w:numId="5" w16cid:durableId="1010063565">
    <w:abstractNumId w:val="15"/>
  </w:num>
  <w:num w:numId="6" w16cid:durableId="103617153">
    <w:abstractNumId w:val="17"/>
  </w:num>
  <w:num w:numId="7" w16cid:durableId="1415009744">
    <w:abstractNumId w:val="1"/>
  </w:num>
  <w:num w:numId="8" w16cid:durableId="887257615">
    <w:abstractNumId w:val="16"/>
  </w:num>
  <w:num w:numId="9" w16cid:durableId="847644845">
    <w:abstractNumId w:val="18"/>
  </w:num>
  <w:num w:numId="10" w16cid:durableId="1925529004">
    <w:abstractNumId w:val="3"/>
  </w:num>
  <w:num w:numId="11" w16cid:durableId="241061207">
    <w:abstractNumId w:val="8"/>
  </w:num>
  <w:num w:numId="12" w16cid:durableId="234972206">
    <w:abstractNumId w:val="9"/>
  </w:num>
  <w:num w:numId="13" w16cid:durableId="1777561311">
    <w:abstractNumId w:val="20"/>
  </w:num>
  <w:num w:numId="14" w16cid:durableId="1020475599">
    <w:abstractNumId w:val="2"/>
  </w:num>
  <w:num w:numId="15" w16cid:durableId="313490127">
    <w:abstractNumId w:val="5"/>
  </w:num>
  <w:num w:numId="16" w16cid:durableId="543950399">
    <w:abstractNumId w:val="12"/>
  </w:num>
  <w:num w:numId="17" w16cid:durableId="1609463497">
    <w:abstractNumId w:val="10"/>
  </w:num>
  <w:num w:numId="18" w16cid:durableId="648635481">
    <w:abstractNumId w:val="14"/>
  </w:num>
  <w:num w:numId="19" w16cid:durableId="256058494">
    <w:abstractNumId w:val="21"/>
  </w:num>
  <w:num w:numId="20" w16cid:durableId="1410617788">
    <w:abstractNumId w:val="7"/>
  </w:num>
  <w:num w:numId="21" w16cid:durableId="731195103">
    <w:abstractNumId w:val="13"/>
  </w:num>
  <w:num w:numId="22" w16cid:durableId="162241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41"/>
    <w:rsid w:val="00015C5A"/>
    <w:rsid w:val="00035256"/>
    <w:rsid w:val="0004462F"/>
    <w:rsid w:val="000522DB"/>
    <w:rsid w:val="00052E12"/>
    <w:rsid w:val="00070866"/>
    <w:rsid w:val="000A66D2"/>
    <w:rsid w:val="000B12B3"/>
    <w:rsid w:val="000B1D54"/>
    <w:rsid w:val="000C60D3"/>
    <w:rsid w:val="000C6A81"/>
    <w:rsid w:val="000E0567"/>
    <w:rsid w:val="000E4752"/>
    <w:rsid w:val="00111816"/>
    <w:rsid w:val="001134ED"/>
    <w:rsid w:val="00136F67"/>
    <w:rsid w:val="0014032A"/>
    <w:rsid w:val="001417D1"/>
    <w:rsid w:val="00161F63"/>
    <w:rsid w:val="00163D11"/>
    <w:rsid w:val="00181B0B"/>
    <w:rsid w:val="00192305"/>
    <w:rsid w:val="001B323A"/>
    <w:rsid w:val="001D007B"/>
    <w:rsid w:val="001D7FB0"/>
    <w:rsid w:val="001F33AC"/>
    <w:rsid w:val="00222C3E"/>
    <w:rsid w:val="0022597E"/>
    <w:rsid w:val="002271AA"/>
    <w:rsid w:val="002537B8"/>
    <w:rsid w:val="00257363"/>
    <w:rsid w:val="00270CA2"/>
    <w:rsid w:val="002725AB"/>
    <w:rsid w:val="00285A67"/>
    <w:rsid w:val="0029386B"/>
    <w:rsid w:val="00297F82"/>
    <w:rsid w:val="002A3F6A"/>
    <w:rsid w:val="002B147E"/>
    <w:rsid w:val="002B1FDC"/>
    <w:rsid w:val="002B3FBF"/>
    <w:rsid w:val="002B6268"/>
    <w:rsid w:val="002C2423"/>
    <w:rsid w:val="002D5579"/>
    <w:rsid w:val="002E14EE"/>
    <w:rsid w:val="00301475"/>
    <w:rsid w:val="00305B0D"/>
    <w:rsid w:val="0031227B"/>
    <w:rsid w:val="00334C4E"/>
    <w:rsid w:val="00334F6D"/>
    <w:rsid w:val="00350D7C"/>
    <w:rsid w:val="00361A89"/>
    <w:rsid w:val="00367BF6"/>
    <w:rsid w:val="0037239B"/>
    <w:rsid w:val="0038753E"/>
    <w:rsid w:val="003F2429"/>
    <w:rsid w:val="00405773"/>
    <w:rsid w:val="00462B12"/>
    <w:rsid w:val="004B18A0"/>
    <w:rsid w:val="004C63A3"/>
    <w:rsid w:val="004E76F8"/>
    <w:rsid w:val="00506250"/>
    <w:rsid w:val="00510BFF"/>
    <w:rsid w:val="00521443"/>
    <w:rsid w:val="00533918"/>
    <w:rsid w:val="00556ACC"/>
    <w:rsid w:val="005573E8"/>
    <w:rsid w:val="005953C5"/>
    <w:rsid w:val="005C4540"/>
    <w:rsid w:val="005C739A"/>
    <w:rsid w:val="005D0610"/>
    <w:rsid w:val="005D7D70"/>
    <w:rsid w:val="005F5EF9"/>
    <w:rsid w:val="00603DC8"/>
    <w:rsid w:val="0060665D"/>
    <w:rsid w:val="00617D6A"/>
    <w:rsid w:val="0063448F"/>
    <w:rsid w:val="0065012E"/>
    <w:rsid w:val="00652EEA"/>
    <w:rsid w:val="00662FFA"/>
    <w:rsid w:val="00675896"/>
    <w:rsid w:val="00682095"/>
    <w:rsid w:val="006F5A53"/>
    <w:rsid w:val="007004B6"/>
    <w:rsid w:val="007045A2"/>
    <w:rsid w:val="00722852"/>
    <w:rsid w:val="007416B7"/>
    <w:rsid w:val="00775781"/>
    <w:rsid w:val="007A15EB"/>
    <w:rsid w:val="007B296E"/>
    <w:rsid w:val="007B37AC"/>
    <w:rsid w:val="007B5997"/>
    <w:rsid w:val="007F12F9"/>
    <w:rsid w:val="00810B37"/>
    <w:rsid w:val="008253B5"/>
    <w:rsid w:val="00843826"/>
    <w:rsid w:val="00850C5A"/>
    <w:rsid w:val="00862155"/>
    <w:rsid w:val="00877208"/>
    <w:rsid w:val="00881977"/>
    <w:rsid w:val="00893305"/>
    <w:rsid w:val="008A5060"/>
    <w:rsid w:val="008B315E"/>
    <w:rsid w:val="008B75C6"/>
    <w:rsid w:val="008D15DF"/>
    <w:rsid w:val="008E1FC0"/>
    <w:rsid w:val="008F66B7"/>
    <w:rsid w:val="00901628"/>
    <w:rsid w:val="00916C76"/>
    <w:rsid w:val="00925F11"/>
    <w:rsid w:val="0093164C"/>
    <w:rsid w:val="00933A1C"/>
    <w:rsid w:val="0095578E"/>
    <w:rsid w:val="00964651"/>
    <w:rsid w:val="00982AB3"/>
    <w:rsid w:val="009B4743"/>
    <w:rsid w:val="009D5544"/>
    <w:rsid w:val="009E11FD"/>
    <w:rsid w:val="00A07CA8"/>
    <w:rsid w:val="00A128BA"/>
    <w:rsid w:val="00A600F0"/>
    <w:rsid w:val="00A9327D"/>
    <w:rsid w:val="00A94497"/>
    <w:rsid w:val="00AB696E"/>
    <w:rsid w:val="00AD3AC3"/>
    <w:rsid w:val="00AD57E6"/>
    <w:rsid w:val="00AE0086"/>
    <w:rsid w:val="00B03C0A"/>
    <w:rsid w:val="00B07BAD"/>
    <w:rsid w:val="00B12C81"/>
    <w:rsid w:val="00B2555A"/>
    <w:rsid w:val="00B453D5"/>
    <w:rsid w:val="00B5081D"/>
    <w:rsid w:val="00B63ACC"/>
    <w:rsid w:val="00B80AF6"/>
    <w:rsid w:val="00B85264"/>
    <w:rsid w:val="00B8681D"/>
    <w:rsid w:val="00BA651D"/>
    <w:rsid w:val="00BC7FE6"/>
    <w:rsid w:val="00BF323F"/>
    <w:rsid w:val="00BF50FC"/>
    <w:rsid w:val="00C24A59"/>
    <w:rsid w:val="00C312B9"/>
    <w:rsid w:val="00C376A2"/>
    <w:rsid w:val="00C6297C"/>
    <w:rsid w:val="00C972EB"/>
    <w:rsid w:val="00CB2A13"/>
    <w:rsid w:val="00CC20D2"/>
    <w:rsid w:val="00CE6ACB"/>
    <w:rsid w:val="00CF5537"/>
    <w:rsid w:val="00D21728"/>
    <w:rsid w:val="00D241D5"/>
    <w:rsid w:val="00D4305A"/>
    <w:rsid w:val="00D46FFA"/>
    <w:rsid w:val="00D47941"/>
    <w:rsid w:val="00D72CF3"/>
    <w:rsid w:val="00D87341"/>
    <w:rsid w:val="00D922D2"/>
    <w:rsid w:val="00DA42C9"/>
    <w:rsid w:val="00DB7833"/>
    <w:rsid w:val="00DC233D"/>
    <w:rsid w:val="00DD6484"/>
    <w:rsid w:val="00DE08D3"/>
    <w:rsid w:val="00DE3C1C"/>
    <w:rsid w:val="00DF1300"/>
    <w:rsid w:val="00E00B25"/>
    <w:rsid w:val="00E02D52"/>
    <w:rsid w:val="00E26C41"/>
    <w:rsid w:val="00E3651D"/>
    <w:rsid w:val="00E436C9"/>
    <w:rsid w:val="00E5776A"/>
    <w:rsid w:val="00E706B6"/>
    <w:rsid w:val="00E76B37"/>
    <w:rsid w:val="00E87BDD"/>
    <w:rsid w:val="00EB63A6"/>
    <w:rsid w:val="00EC681D"/>
    <w:rsid w:val="00ED34CC"/>
    <w:rsid w:val="00F0779E"/>
    <w:rsid w:val="00F30427"/>
    <w:rsid w:val="00F4796A"/>
    <w:rsid w:val="00F63DC6"/>
    <w:rsid w:val="00F64428"/>
    <w:rsid w:val="00F659DA"/>
    <w:rsid w:val="00F80EED"/>
    <w:rsid w:val="00FE49CA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C708"/>
  <w15:chartTrackingRefBased/>
  <w15:docId w15:val="{029C55E0-2B44-4D9B-AC2B-31CE833F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3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17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AD"/>
  </w:style>
  <w:style w:type="paragraph" w:styleId="Footer">
    <w:name w:val="footer"/>
    <w:basedOn w:val="Normal"/>
    <w:link w:val="FooterChar"/>
    <w:uiPriority w:val="99"/>
    <w:unhideWhenUsed/>
    <w:rsid w:val="00B07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AD"/>
  </w:style>
  <w:style w:type="character" w:styleId="Hyperlink">
    <w:name w:val="Hyperlink"/>
    <w:basedOn w:val="DefaultParagraphFont"/>
    <w:uiPriority w:val="99"/>
    <w:unhideWhenUsed/>
    <w:rsid w:val="002B3F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733</Words>
  <Characters>3412</Characters>
  <Application>Microsoft Office Word</Application>
  <DocSecurity>0</DocSecurity>
  <Lines>69</Lines>
  <Paragraphs>13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Cromwell</dc:creator>
  <cp:keywords/>
  <dc:description/>
  <cp:lastModifiedBy>Lisa Cromwell</cp:lastModifiedBy>
  <cp:revision>156</cp:revision>
  <dcterms:created xsi:type="dcterms:W3CDTF">2025-09-10T10:30:00Z</dcterms:created>
  <dcterms:modified xsi:type="dcterms:W3CDTF">2026-04-28T19:44:00Z</dcterms:modified>
</cp:coreProperties>
</file>