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179CD81F" w:rsidR="00D87341" w:rsidRPr="00301475" w:rsidRDefault="003B59AC" w:rsidP="007045A2">
      <w:pPr>
        <w:jc w:val="center"/>
        <w:rPr>
          <w:rFonts w:ascii="Arial" w:hAnsi="Arial" w:cs="Arial"/>
          <w:b/>
          <w:bCs/>
          <w:color w:val="7030A0"/>
          <w:sz w:val="36"/>
          <w:szCs w:val="36"/>
        </w:rPr>
      </w:pPr>
      <w:r>
        <w:rPr>
          <w:rFonts w:ascii="Arial" w:hAnsi="Arial" w:cs="Arial"/>
          <w:b/>
          <w:bCs/>
          <w:color w:val="7030A0"/>
          <w:sz w:val="36"/>
          <w:szCs w:val="36"/>
        </w:rPr>
        <w:t>Reserves</w:t>
      </w:r>
      <w:r w:rsidR="00D87341" w:rsidRPr="00301475">
        <w:rPr>
          <w:rFonts w:ascii="Arial" w:hAnsi="Arial" w:cs="Arial"/>
          <w:b/>
          <w:bCs/>
          <w:color w:val="7030A0"/>
          <w:sz w:val="36"/>
          <w:szCs w:val="36"/>
        </w:rPr>
        <w:t xml:space="preserve"> 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1158C0">
        <w:trPr>
          <w:trHeight w:val="57"/>
        </w:trPr>
        <w:tc>
          <w:tcPr>
            <w:tcW w:w="2812" w:type="dxa"/>
            <w:tcBorders>
              <w:bottom w:val="nil"/>
            </w:tcBorders>
          </w:tcPr>
          <w:p w14:paraId="769A3938" w14:textId="261A0FEF" w:rsidR="001417D1" w:rsidRPr="00DD4CEF" w:rsidRDefault="001417D1" w:rsidP="00B5081D">
            <w:pPr>
              <w:rPr>
                <w:rFonts w:ascii="Arial" w:hAnsi="Arial" w:cs="Arial"/>
                <w:b/>
                <w:noProof/>
                <w:sz w:val="22"/>
                <w:szCs w:val="22"/>
              </w:rPr>
            </w:pPr>
            <w:r w:rsidRPr="00DD4CEF">
              <w:rPr>
                <w:rFonts w:ascii="Arial" w:hAnsi="Arial" w:cs="Arial"/>
                <w:b/>
                <w:noProof/>
                <w:sz w:val="22"/>
                <w:szCs w:val="22"/>
              </w:rPr>
              <w:t>A</w:t>
            </w:r>
            <w:r w:rsidR="00B5081D" w:rsidRPr="00DD4CEF">
              <w:rPr>
                <w:rFonts w:ascii="Arial" w:hAnsi="Arial" w:cs="Arial"/>
                <w:b/>
                <w:noProof/>
                <w:sz w:val="22"/>
                <w:szCs w:val="22"/>
              </w:rPr>
              <w:t>dopted</w:t>
            </w:r>
            <w:r w:rsidR="00674CDF" w:rsidRPr="00DD4CEF">
              <w:rPr>
                <w:rFonts w:ascii="Arial" w:hAnsi="Arial" w:cs="Arial"/>
                <w:b/>
                <w:noProof/>
                <w:sz w:val="22"/>
                <w:szCs w:val="22"/>
              </w:rPr>
              <w:t xml:space="preserve"> V</w:t>
            </w:r>
            <w:r w:rsidR="007F1B4F" w:rsidRPr="00DD4CEF">
              <w:rPr>
                <w:rFonts w:ascii="Arial" w:hAnsi="Arial" w:cs="Arial"/>
                <w:b/>
                <w:noProof/>
                <w:sz w:val="22"/>
                <w:szCs w:val="22"/>
              </w:rPr>
              <w:t>.1</w:t>
            </w:r>
          </w:p>
          <w:p w14:paraId="5FF29D74" w14:textId="2B9012CF" w:rsidR="001B323A" w:rsidRPr="00DD4CEF" w:rsidRDefault="007F1B4F" w:rsidP="00B5081D">
            <w:pPr>
              <w:rPr>
                <w:rFonts w:ascii="Arial" w:hAnsi="Arial" w:cs="Arial"/>
                <w:b/>
                <w:noProof/>
                <w:sz w:val="22"/>
                <w:szCs w:val="22"/>
              </w:rPr>
            </w:pPr>
            <w:r w:rsidRPr="00DD4CEF">
              <w:rPr>
                <w:rFonts w:ascii="Arial" w:hAnsi="Arial" w:cs="Arial"/>
                <w:b/>
                <w:noProof/>
                <w:sz w:val="22"/>
                <w:szCs w:val="22"/>
              </w:rPr>
              <w:t>Updated to V.2</w:t>
            </w:r>
          </w:p>
        </w:tc>
        <w:tc>
          <w:tcPr>
            <w:tcW w:w="2858" w:type="dxa"/>
            <w:tcBorders>
              <w:bottom w:val="nil"/>
            </w:tcBorders>
          </w:tcPr>
          <w:p w14:paraId="7AABEB62" w14:textId="77777777" w:rsidR="001417D1" w:rsidRPr="00DD4CEF" w:rsidRDefault="003B59AC" w:rsidP="00B5081D">
            <w:pPr>
              <w:rPr>
                <w:rFonts w:ascii="Arial" w:hAnsi="Arial" w:cs="Arial"/>
                <w:bCs/>
                <w:noProof/>
                <w:sz w:val="22"/>
                <w:szCs w:val="22"/>
              </w:rPr>
            </w:pPr>
            <w:r w:rsidRPr="00DD4CEF">
              <w:rPr>
                <w:rFonts w:ascii="Arial" w:hAnsi="Arial" w:cs="Arial"/>
                <w:bCs/>
                <w:noProof/>
                <w:sz w:val="22"/>
                <w:szCs w:val="22"/>
              </w:rPr>
              <w:t>06.09.21</w:t>
            </w:r>
          </w:p>
          <w:p w14:paraId="798F431A" w14:textId="0E6B218D" w:rsidR="007F1B4F" w:rsidRPr="00DD4CEF" w:rsidRDefault="007F1B4F" w:rsidP="00B5081D">
            <w:pPr>
              <w:rPr>
                <w:rFonts w:ascii="Arial" w:hAnsi="Arial" w:cs="Arial"/>
                <w:b/>
                <w:noProof/>
                <w:sz w:val="22"/>
                <w:szCs w:val="22"/>
              </w:rPr>
            </w:pPr>
            <w:r w:rsidRPr="00DD4CEF">
              <w:rPr>
                <w:rFonts w:ascii="Arial" w:hAnsi="Arial" w:cs="Arial"/>
                <w:noProof/>
                <w:sz w:val="22"/>
                <w:szCs w:val="22"/>
              </w:rPr>
              <w:t>November 2025</w:t>
            </w:r>
          </w:p>
        </w:tc>
      </w:tr>
      <w:tr w:rsidR="001158C0" w:rsidRPr="00B12C81" w14:paraId="3A7151B0" w14:textId="77777777" w:rsidTr="001158C0">
        <w:trPr>
          <w:trHeight w:val="57"/>
        </w:trPr>
        <w:tc>
          <w:tcPr>
            <w:tcW w:w="2812" w:type="dxa"/>
            <w:tcBorders>
              <w:top w:val="nil"/>
            </w:tcBorders>
          </w:tcPr>
          <w:p w14:paraId="1260BBE1" w14:textId="6DD239E0" w:rsidR="001158C0" w:rsidRPr="00DD4CEF" w:rsidRDefault="001158C0" w:rsidP="00B5081D">
            <w:pPr>
              <w:rPr>
                <w:rFonts w:ascii="Arial" w:hAnsi="Arial" w:cs="Arial"/>
                <w:b/>
                <w:noProof/>
                <w:sz w:val="22"/>
                <w:szCs w:val="22"/>
              </w:rPr>
            </w:pPr>
            <w:r w:rsidRPr="00DD4CEF">
              <w:rPr>
                <w:rFonts w:ascii="Arial" w:hAnsi="Arial" w:cs="Arial"/>
                <w:b/>
                <w:noProof/>
                <w:sz w:val="22"/>
                <w:szCs w:val="22"/>
              </w:rPr>
              <w:t>Updated to V.3</w:t>
            </w:r>
          </w:p>
        </w:tc>
        <w:tc>
          <w:tcPr>
            <w:tcW w:w="2858" w:type="dxa"/>
            <w:tcBorders>
              <w:top w:val="nil"/>
            </w:tcBorders>
          </w:tcPr>
          <w:p w14:paraId="241450ED" w14:textId="616C365E" w:rsidR="001158C0" w:rsidRPr="00DD4CEF" w:rsidRDefault="00DD4CEF" w:rsidP="00B5081D">
            <w:pPr>
              <w:rPr>
                <w:rFonts w:ascii="Arial" w:hAnsi="Arial" w:cs="Arial"/>
                <w:bCs/>
                <w:noProof/>
                <w:sz w:val="22"/>
                <w:szCs w:val="22"/>
              </w:rPr>
            </w:pPr>
            <w:r w:rsidRPr="00DD4CEF">
              <w:rPr>
                <w:rFonts w:ascii="Arial" w:hAnsi="Arial" w:cs="Arial"/>
                <w:bCs/>
                <w:noProof/>
                <w:sz w:val="22"/>
                <w:szCs w:val="22"/>
              </w:rPr>
              <w:t>April 2026</w:t>
            </w:r>
            <w:r w:rsidR="00F81B4D">
              <w:rPr>
                <w:rFonts w:ascii="Arial" w:hAnsi="Arial" w:cs="Arial"/>
                <w:bCs/>
                <w:noProof/>
                <w:sz w:val="22"/>
                <w:szCs w:val="22"/>
              </w:rPr>
              <w:t>.  Adopted 05.05.28</w:t>
            </w:r>
          </w:p>
        </w:tc>
      </w:tr>
      <w:tr w:rsidR="001417D1" w:rsidRPr="00B12C81" w14:paraId="707DFE47" w14:textId="77777777" w:rsidTr="00F97BB2">
        <w:trPr>
          <w:trHeight w:val="340"/>
        </w:trPr>
        <w:tc>
          <w:tcPr>
            <w:tcW w:w="2812" w:type="dxa"/>
          </w:tcPr>
          <w:p w14:paraId="453C8A3C" w14:textId="77777777" w:rsidR="001417D1" w:rsidRPr="00DD4CEF" w:rsidRDefault="00334C4E" w:rsidP="00B5081D">
            <w:pPr>
              <w:rPr>
                <w:rFonts w:ascii="Arial" w:hAnsi="Arial" w:cs="Arial"/>
                <w:b/>
                <w:noProof/>
                <w:sz w:val="22"/>
                <w:szCs w:val="22"/>
              </w:rPr>
            </w:pPr>
            <w:r w:rsidRPr="00DD4CEF">
              <w:rPr>
                <w:rFonts w:ascii="Arial" w:hAnsi="Arial" w:cs="Arial"/>
                <w:b/>
                <w:noProof/>
                <w:sz w:val="22"/>
                <w:szCs w:val="22"/>
              </w:rPr>
              <w:t>Review Date</w:t>
            </w:r>
          </w:p>
          <w:p w14:paraId="31E4D0DB" w14:textId="77777777" w:rsidR="001B323A" w:rsidRPr="00DD4CEF" w:rsidRDefault="001B323A" w:rsidP="00B5081D">
            <w:pPr>
              <w:rPr>
                <w:rFonts w:ascii="Arial" w:hAnsi="Arial" w:cs="Arial"/>
                <w:b/>
                <w:noProof/>
                <w:sz w:val="22"/>
                <w:szCs w:val="22"/>
              </w:rPr>
            </w:pPr>
          </w:p>
          <w:p w14:paraId="29F7BB45" w14:textId="77777777" w:rsidR="001B323A" w:rsidRPr="00DD4CEF" w:rsidRDefault="001B323A" w:rsidP="00B5081D">
            <w:pPr>
              <w:rPr>
                <w:rFonts w:ascii="Arial" w:hAnsi="Arial" w:cs="Arial"/>
                <w:bCs/>
                <w:noProof/>
                <w:sz w:val="22"/>
                <w:szCs w:val="22"/>
              </w:rPr>
            </w:pPr>
            <w:r w:rsidRPr="00DD4CEF">
              <w:rPr>
                <w:rFonts w:ascii="Arial" w:hAnsi="Arial" w:cs="Arial"/>
                <w:bCs/>
                <w:noProof/>
                <w:sz w:val="22"/>
                <w:szCs w:val="22"/>
              </w:rPr>
              <w:t>Policy reviewed every 2 years or upon legislative change</w:t>
            </w:r>
          </w:p>
          <w:p w14:paraId="26A3ADC2" w14:textId="322D3D59" w:rsidR="00E26C41" w:rsidRPr="00DD4CEF" w:rsidRDefault="00E26C41" w:rsidP="00B5081D">
            <w:pPr>
              <w:rPr>
                <w:rFonts w:ascii="Arial" w:hAnsi="Arial" w:cs="Arial"/>
                <w:b/>
                <w:noProof/>
                <w:sz w:val="22"/>
                <w:szCs w:val="22"/>
              </w:rPr>
            </w:pPr>
          </w:p>
        </w:tc>
        <w:tc>
          <w:tcPr>
            <w:tcW w:w="2858" w:type="dxa"/>
          </w:tcPr>
          <w:p w14:paraId="704DB74D" w14:textId="37C7DF75" w:rsidR="001417D1" w:rsidRPr="00DD4CEF" w:rsidRDefault="003B59AC" w:rsidP="00B5081D">
            <w:pPr>
              <w:rPr>
                <w:rFonts w:ascii="Arial" w:hAnsi="Arial" w:cs="Arial"/>
                <w:bCs/>
                <w:noProof/>
                <w:sz w:val="22"/>
                <w:szCs w:val="22"/>
              </w:rPr>
            </w:pPr>
            <w:r w:rsidRPr="00DD4CEF">
              <w:rPr>
                <w:rFonts w:ascii="Arial" w:hAnsi="Arial" w:cs="Arial"/>
                <w:bCs/>
                <w:noProof/>
                <w:sz w:val="22"/>
                <w:szCs w:val="22"/>
              </w:rPr>
              <w:t>November 20</w:t>
            </w:r>
            <w:r w:rsidR="00DD4CEF">
              <w:rPr>
                <w:rFonts w:ascii="Arial" w:hAnsi="Arial" w:cs="Arial"/>
                <w:bCs/>
                <w:noProof/>
                <w:sz w:val="22"/>
                <w:szCs w:val="22"/>
              </w:rPr>
              <w:t>28</w:t>
            </w:r>
          </w:p>
        </w:tc>
      </w:tr>
      <w:tr w:rsidR="001417D1" w:rsidRPr="00B12C81" w14:paraId="2F30F795" w14:textId="77777777" w:rsidTr="00F97BB2">
        <w:trPr>
          <w:trHeight w:val="340"/>
        </w:trPr>
        <w:tc>
          <w:tcPr>
            <w:tcW w:w="2812" w:type="dxa"/>
          </w:tcPr>
          <w:p w14:paraId="4EE0A836" w14:textId="0AC49E7F" w:rsidR="001417D1" w:rsidRPr="00DD4CEF" w:rsidRDefault="00E26C41" w:rsidP="00B5081D">
            <w:pPr>
              <w:rPr>
                <w:rFonts w:ascii="Arial" w:hAnsi="Arial" w:cs="Arial"/>
                <w:b/>
                <w:noProof/>
                <w:sz w:val="22"/>
                <w:szCs w:val="22"/>
              </w:rPr>
            </w:pPr>
            <w:r w:rsidRPr="00DD4CEF">
              <w:rPr>
                <w:rFonts w:ascii="Arial" w:hAnsi="Arial" w:cs="Arial"/>
                <w:b/>
                <w:noProof/>
                <w:sz w:val="22"/>
                <w:szCs w:val="22"/>
              </w:rPr>
              <w:t>Version</w:t>
            </w:r>
          </w:p>
        </w:tc>
        <w:tc>
          <w:tcPr>
            <w:tcW w:w="2858" w:type="dxa"/>
          </w:tcPr>
          <w:p w14:paraId="1BA1F497" w14:textId="1DC4A530" w:rsidR="001417D1" w:rsidRPr="00DD4CEF" w:rsidRDefault="00DD4CEF" w:rsidP="00B5081D">
            <w:pPr>
              <w:rPr>
                <w:rFonts w:ascii="Arial" w:hAnsi="Arial" w:cs="Arial"/>
                <w:bCs/>
                <w:noProof/>
                <w:sz w:val="22"/>
                <w:szCs w:val="22"/>
              </w:rPr>
            </w:pPr>
            <w:r>
              <w:rPr>
                <w:rFonts w:ascii="Arial" w:hAnsi="Arial" w:cs="Arial"/>
                <w:bCs/>
                <w:noProof/>
                <w:sz w:val="22"/>
                <w:szCs w:val="22"/>
              </w:rPr>
              <w:t>3</w:t>
            </w:r>
          </w:p>
        </w:tc>
      </w:tr>
    </w:tbl>
    <w:p w14:paraId="7A50A668" w14:textId="77777777" w:rsidR="001417D1" w:rsidRPr="00B12C81" w:rsidRDefault="001417D1" w:rsidP="001417D1">
      <w:pPr>
        <w:jc w:val="both"/>
        <w:rPr>
          <w:rFonts w:ascii="Arial" w:hAnsi="Arial" w:cs="Arial"/>
          <w:b/>
          <w:bCs/>
        </w:rPr>
      </w:pPr>
    </w:p>
    <w:p w14:paraId="7D02417A" w14:textId="04AC9F95" w:rsidR="002B6268" w:rsidRPr="002B6268" w:rsidRDefault="00D87341" w:rsidP="002B6268">
      <w:pPr>
        <w:rPr>
          <w:rFonts w:ascii="Arial" w:hAnsi="Arial" w:cs="Arial"/>
          <w:color w:val="7030A0"/>
          <w:sz w:val="28"/>
          <w:szCs w:val="28"/>
        </w:rPr>
      </w:pPr>
      <w:r w:rsidRPr="00F80EED">
        <w:rPr>
          <w:rFonts w:ascii="Arial" w:hAnsi="Arial" w:cs="Arial"/>
          <w:b/>
          <w:bCs/>
          <w:color w:val="7030A0"/>
          <w:sz w:val="28"/>
          <w:szCs w:val="28"/>
        </w:rPr>
        <w:t>1.</w:t>
      </w:r>
      <w:r w:rsidR="0014032A" w:rsidRPr="00F80EED">
        <w:rPr>
          <w:rFonts w:ascii="Arial" w:hAnsi="Arial" w:cs="Arial"/>
          <w:b/>
          <w:bCs/>
          <w:color w:val="7030A0"/>
          <w:sz w:val="28"/>
          <w:szCs w:val="28"/>
        </w:rPr>
        <w:t xml:space="preserve"> </w:t>
      </w:r>
      <w:r w:rsidR="007E43E6">
        <w:rPr>
          <w:rFonts w:ascii="Arial" w:hAnsi="Arial" w:cs="Arial"/>
          <w:b/>
          <w:bCs/>
          <w:color w:val="7030A0"/>
          <w:sz w:val="28"/>
          <w:szCs w:val="28"/>
        </w:rPr>
        <w:t>Purpose and Scope</w:t>
      </w:r>
    </w:p>
    <w:p w14:paraId="008C0F4F" w14:textId="77777777" w:rsidR="00B148B2" w:rsidRPr="00B148B2" w:rsidRDefault="00B148B2" w:rsidP="00B148B2">
      <w:pPr>
        <w:jc w:val="both"/>
        <w:rPr>
          <w:rFonts w:ascii="Arial" w:hAnsi="Arial" w:cs="Arial"/>
        </w:rPr>
      </w:pPr>
      <w:r w:rsidRPr="00B148B2">
        <w:rPr>
          <w:rFonts w:ascii="Arial" w:hAnsi="Arial" w:cs="Arial"/>
        </w:rPr>
        <w:t>This policy sets out the principles by which the Joint Parish Council (JPC) establishes, maintains, and reviews its financial reserves. It applies to the Council, the Clerk/RFO, and any subordinate committees with delegated financial responsibilities.</w:t>
      </w:r>
    </w:p>
    <w:p w14:paraId="1833FE60" w14:textId="77777777" w:rsidR="00B148B2" w:rsidRPr="00B148B2" w:rsidRDefault="00B148B2" w:rsidP="00B148B2">
      <w:pPr>
        <w:jc w:val="both"/>
        <w:rPr>
          <w:rFonts w:ascii="Arial" w:hAnsi="Arial" w:cs="Arial"/>
        </w:rPr>
      </w:pPr>
      <w:r w:rsidRPr="00B148B2">
        <w:rPr>
          <w:rFonts w:ascii="Arial" w:hAnsi="Arial" w:cs="Arial"/>
        </w:rPr>
        <w:t>The policy is underpinned by:</w:t>
      </w:r>
    </w:p>
    <w:p w14:paraId="1DB276F4" w14:textId="77777777" w:rsidR="00B148B2" w:rsidRPr="00B148B2" w:rsidRDefault="00B148B2" w:rsidP="00B148B2">
      <w:pPr>
        <w:jc w:val="both"/>
        <w:rPr>
          <w:rFonts w:ascii="Arial" w:hAnsi="Arial" w:cs="Arial"/>
        </w:rPr>
      </w:pPr>
      <w:r w:rsidRPr="00B148B2">
        <w:rPr>
          <w:rFonts w:ascii="Arial" w:hAnsi="Arial" w:cs="Arial"/>
        </w:rPr>
        <w:t xml:space="preserve">• </w:t>
      </w:r>
      <w:r w:rsidRPr="00B148B2">
        <w:rPr>
          <w:rFonts w:ascii="Arial" w:hAnsi="Arial" w:cs="Arial"/>
        </w:rPr>
        <w:tab/>
        <w:t>The Accounts and Audit Regulations 2015 (as amended)</w:t>
      </w:r>
    </w:p>
    <w:p w14:paraId="628A37F5" w14:textId="77777777" w:rsidR="00B148B2" w:rsidRPr="00B148B2" w:rsidRDefault="00B148B2" w:rsidP="00B148B2">
      <w:pPr>
        <w:jc w:val="both"/>
        <w:rPr>
          <w:rFonts w:ascii="Arial" w:hAnsi="Arial" w:cs="Arial"/>
        </w:rPr>
      </w:pPr>
      <w:r w:rsidRPr="00B148B2">
        <w:rPr>
          <w:rFonts w:ascii="Arial" w:hAnsi="Arial" w:cs="Arial"/>
        </w:rPr>
        <w:t xml:space="preserve">• </w:t>
      </w:r>
      <w:r w:rsidRPr="00B148B2">
        <w:rPr>
          <w:rFonts w:ascii="Arial" w:hAnsi="Arial" w:cs="Arial"/>
        </w:rPr>
        <w:tab/>
        <w:t>Section 50 of the Local Government Finance Act 1992</w:t>
      </w:r>
    </w:p>
    <w:p w14:paraId="12A4099F" w14:textId="6B9194DF" w:rsidR="00682095" w:rsidRDefault="00B148B2" w:rsidP="00B148B2">
      <w:pPr>
        <w:ind w:left="720" w:hanging="720"/>
        <w:jc w:val="both"/>
        <w:rPr>
          <w:rFonts w:ascii="Arial" w:hAnsi="Arial" w:cs="Arial"/>
        </w:rPr>
      </w:pPr>
      <w:r w:rsidRPr="00B148B2">
        <w:rPr>
          <w:rFonts w:ascii="Arial" w:hAnsi="Arial" w:cs="Arial"/>
        </w:rPr>
        <w:t xml:space="preserve">• </w:t>
      </w:r>
      <w:r w:rsidRPr="00B148B2">
        <w:rPr>
          <w:rFonts w:ascii="Arial" w:hAnsi="Arial" w:cs="Arial"/>
        </w:rPr>
        <w:tab/>
        <w:t>Relevant guidance from the Joint Panel on Accountability and Governance (JPAG)</w:t>
      </w:r>
    </w:p>
    <w:p w14:paraId="36CEB963" w14:textId="77777777" w:rsidR="00B148B2" w:rsidRPr="002B6268" w:rsidRDefault="00B148B2" w:rsidP="00B148B2">
      <w:pPr>
        <w:ind w:left="720" w:hanging="720"/>
        <w:jc w:val="both"/>
        <w:rPr>
          <w:rFonts w:ascii="Arial" w:hAnsi="Arial" w:cs="Arial"/>
        </w:rPr>
      </w:pPr>
    </w:p>
    <w:p w14:paraId="2C5BBA49" w14:textId="3261FD29" w:rsidR="00D87341" w:rsidRPr="00F80EED" w:rsidRDefault="00D87341" w:rsidP="00662FFA">
      <w:pPr>
        <w:jc w:val="both"/>
        <w:rPr>
          <w:rFonts w:ascii="Arial" w:hAnsi="Arial" w:cs="Arial"/>
          <w:b/>
          <w:bCs/>
          <w:color w:val="7030A0"/>
          <w:sz w:val="28"/>
          <w:szCs w:val="28"/>
        </w:rPr>
      </w:pPr>
      <w:r w:rsidRPr="00F80EED">
        <w:rPr>
          <w:rFonts w:ascii="Arial" w:hAnsi="Arial" w:cs="Arial"/>
          <w:b/>
          <w:bCs/>
          <w:color w:val="7030A0"/>
          <w:sz w:val="28"/>
          <w:szCs w:val="28"/>
        </w:rPr>
        <w:t xml:space="preserve">2. </w:t>
      </w:r>
      <w:r w:rsidR="00B148B2">
        <w:rPr>
          <w:rFonts w:ascii="Arial" w:hAnsi="Arial" w:cs="Arial"/>
          <w:b/>
          <w:bCs/>
          <w:color w:val="7030A0"/>
          <w:sz w:val="28"/>
          <w:szCs w:val="28"/>
        </w:rPr>
        <w:t>Categories of Reserves</w:t>
      </w:r>
    </w:p>
    <w:p w14:paraId="558A36D9" w14:textId="77777777" w:rsidR="00650DB7" w:rsidRPr="00650DB7" w:rsidRDefault="00650DB7" w:rsidP="00650DB7">
      <w:pPr>
        <w:rPr>
          <w:rFonts w:ascii="Arial" w:hAnsi="Arial" w:cs="Arial"/>
        </w:rPr>
      </w:pPr>
      <w:r w:rsidRPr="00650DB7">
        <w:rPr>
          <w:rFonts w:ascii="Arial" w:hAnsi="Arial" w:cs="Arial"/>
        </w:rPr>
        <w:t>The Council maintains two categories of reserves:</w:t>
      </w:r>
    </w:p>
    <w:p w14:paraId="3267171F" w14:textId="77777777" w:rsidR="00650DB7" w:rsidRPr="002A2D68" w:rsidRDefault="00650DB7" w:rsidP="00650DB7">
      <w:pPr>
        <w:rPr>
          <w:rFonts w:ascii="Arial" w:hAnsi="Arial" w:cs="Arial"/>
          <w:b/>
          <w:bCs/>
          <w:color w:val="7030A0"/>
        </w:rPr>
      </w:pPr>
      <w:r w:rsidRPr="002A2D68">
        <w:rPr>
          <w:rFonts w:ascii="Arial" w:hAnsi="Arial" w:cs="Arial"/>
          <w:b/>
          <w:bCs/>
          <w:color w:val="7030A0"/>
        </w:rPr>
        <w:lastRenderedPageBreak/>
        <w:t xml:space="preserve">a) </w:t>
      </w:r>
      <w:r w:rsidRPr="00236510">
        <w:rPr>
          <w:rFonts w:ascii="Arial" w:hAnsi="Arial" w:cs="Arial"/>
          <w:b/>
          <w:bCs/>
          <w:color w:val="7030A0"/>
        </w:rPr>
        <w:t>General (Un-earmarked) Reserves</w:t>
      </w:r>
    </w:p>
    <w:p w14:paraId="37EED681" w14:textId="77777777" w:rsidR="00650DB7" w:rsidRPr="00650DB7" w:rsidRDefault="00650DB7" w:rsidP="00650DB7">
      <w:pPr>
        <w:rPr>
          <w:rFonts w:ascii="Arial" w:hAnsi="Arial" w:cs="Arial"/>
        </w:rPr>
      </w:pPr>
      <w:r w:rsidRPr="00650DB7">
        <w:rPr>
          <w:rFonts w:ascii="Arial" w:hAnsi="Arial" w:cs="Arial"/>
        </w:rPr>
        <w:t>Held to:</w:t>
      </w:r>
    </w:p>
    <w:p w14:paraId="60A7EF53"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Cushion the impact of uneven cash flows</w:t>
      </w:r>
    </w:p>
    <w:p w14:paraId="2595228A"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Provide contingency for unexpected events or emergencies</w:t>
      </w:r>
    </w:p>
    <w:p w14:paraId="655AC460" w14:textId="77777777" w:rsidR="00650DB7" w:rsidRPr="00650DB7" w:rsidRDefault="00650DB7" w:rsidP="00650DB7">
      <w:pPr>
        <w:rPr>
          <w:rFonts w:ascii="Arial" w:hAnsi="Arial" w:cs="Arial"/>
        </w:rPr>
      </w:pPr>
      <w:r w:rsidRPr="00650DB7">
        <w:rPr>
          <w:rFonts w:ascii="Arial" w:hAnsi="Arial" w:cs="Arial"/>
        </w:rPr>
        <w:t>Minimum level:</w:t>
      </w:r>
    </w:p>
    <w:p w14:paraId="662C7236" w14:textId="3FD78A47" w:rsidR="00650DB7" w:rsidRPr="00650DB7" w:rsidRDefault="00650DB7" w:rsidP="00650DB7">
      <w:pPr>
        <w:rPr>
          <w:rFonts w:ascii="Arial" w:hAnsi="Arial" w:cs="Arial"/>
        </w:rPr>
      </w:pPr>
      <w:r w:rsidRPr="00650DB7">
        <w:rPr>
          <w:rFonts w:ascii="Arial" w:hAnsi="Arial" w:cs="Arial"/>
        </w:rPr>
        <w:t xml:space="preserve">To be maintained at no less than </w:t>
      </w:r>
      <w:r>
        <w:rPr>
          <w:rFonts w:ascii="Arial" w:hAnsi="Arial" w:cs="Arial"/>
        </w:rPr>
        <w:t>three</w:t>
      </w:r>
      <w:r w:rsidRPr="00650DB7">
        <w:rPr>
          <w:rFonts w:ascii="Arial" w:hAnsi="Arial" w:cs="Arial"/>
        </w:rPr>
        <w:t xml:space="preserve"> months of operational expenditure, excluding grant allocations. This threshold is subject to annual risk assessment by the RFO during budget setting.</w:t>
      </w:r>
    </w:p>
    <w:p w14:paraId="52266B91" w14:textId="77777777" w:rsidR="00650DB7" w:rsidRPr="00650DB7" w:rsidRDefault="00650DB7" w:rsidP="00650DB7">
      <w:pPr>
        <w:rPr>
          <w:rFonts w:ascii="Arial" w:hAnsi="Arial" w:cs="Arial"/>
        </w:rPr>
      </w:pPr>
      <w:r w:rsidRPr="00650DB7">
        <w:rPr>
          <w:rFonts w:ascii="Arial" w:hAnsi="Arial" w:cs="Arial"/>
        </w:rPr>
        <w:t>Use of surplus:</w:t>
      </w:r>
    </w:p>
    <w:p w14:paraId="26F96D5F" w14:textId="77777777" w:rsidR="00650DB7" w:rsidRPr="00650DB7" w:rsidRDefault="00650DB7" w:rsidP="00650DB7">
      <w:pPr>
        <w:rPr>
          <w:rFonts w:ascii="Arial" w:hAnsi="Arial" w:cs="Arial"/>
        </w:rPr>
      </w:pPr>
      <w:r w:rsidRPr="00650DB7">
        <w:rPr>
          <w:rFonts w:ascii="Arial" w:hAnsi="Arial" w:cs="Arial"/>
        </w:rPr>
        <w:t>Where general reserves exceed the minimum threshold, the Council may resolve to:</w:t>
      </w:r>
    </w:p>
    <w:p w14:paraId="49E5AB3B"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Allocate funds to capital projects</w:t>
      </w:r>
    </w:p>
    <w:p w14:paraId="0AE6C87C"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Transfer to earmarked reserves</w:t>
      </w:r>
    </w:p>
    <w:p w14:paraId="52A5EC8D"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Offset precept increases (in exceptional circumstances)</w:t>
      </w:r>
    </w:p>
    <w:p w14:paraId="4270BD35" w14:textId="77777777" w:rsidR="00650DB7" w:rsidRPr="002A2D68" w:rsidRDefault="00650DB7" w:rsidP="00650DB7">
      <w:pPr>
        <w:rPr>
          <w:rFonts w:ascii="Arial" w:hAnsi="Arial" w:cs="Arial"/>
          <w:b/>
          <w:bCs/>
          <w:color w:val="7030A0"/>
        </w:rPr>
      </w:pPr>
      <w:r w:rsidRPr="002A2D68">
        <w:rPr>
          <w:rFonts w:ascii="Arial" w:hAnsi="Arial" w:cs="Arial"/>
          <w:b/>
          <w:bCs/>
          <w:color w:val="7030A0"/>
        </w:rPr>
        <w:t>b) Earmarked Reserves (EMRs)</w:t>
      </w:r>
    </w:p>
    <w:p w14:paraId="7A1767E0" w14:textId="77777777" w:rsidR="00650DB7" w:rsidRPr="00650DB7" w:rsidRDefault="00650DB7" w:rsidP="00650DB7">
      <w:pPr>
        <w:rPr>
          <w:rFonts w:ascii="Arial" w:hAnsi="Arial" w:cs="Arial"/>
        </w:rPr>
      </w:pPr>
      <w:r w:rsidRPr="00650DB7">
        <w:rPr>
          <w:rFonts w:ascii="Arial" w:hAnsi="Arial" w:cs="Arial"/>
        </w:rPr>
        <w:t>Established for specific, approved purposes, including:</w:t>
      </w:r>
    </w:p>
    <w:p w14:paraId="6EF90378" w14:textId="2404F07C" w:rsidR="00650DB7" w:rsidRPr="00650DB7" w:rsidRDefault="00650DB7" w:rsidP="00712E2D">
      <w:pPr>
        <w:ind w:left="720" w:hanging="720"/>
        <w:rPr>
          <w:rFonts w:ascii="Arial" w:hAnsi="Arial" w:cs="Arial"/>
        </w:rPr>
      </w:pPr>
      <w:r w:rsidRPr="00650DB7">
        <w:rPr>
          <w:rFonts w:ascii="Arial" w:hAnsi="Arial" w:cs="Arial"/>
        </w:rPr>
        <w:t xml:space="preserve">• </w:t>
      </w:r>
      <w:r w:rsidRPr="00650DB7">
        <w:rPr>
          <w:rFonts w:ascii="Arial" w:hAnsi="Arial" w:cs="Arial"/>
        </w:rPr>
        <w:tab/>
        <w:t>Renewals</w:t>
      </w:r>
      <w:r w:rsidR="00712E2D">
        <w:rPr>
          <w:rFonts w:ascii="Arial" w:hAnsi="Arial" w:cs="Arial"/>
        </w:rPr>
        <w:t xml:space="preserve"> and maintenance</w:t>
      </w:r>
      <w:r w:rsidRPr="00650DB7">
        <w:rPr>
          <w:rFonts w:ascii="Arial" w:hAnsi="Arial" w:cs="Arial"/>
        </w:rPr>
        <w:t>: Planned replacement</w:t>
      </w:r>
      <w:r w:rsidR="0043236D">
        <w:rPr>
          <w:rFonts w:ascii="Arial" w:hAnsi="Arial" w:cs="Arial"/>
        </w:rPr>
        <w:t>/maintenance of JPC assets</w:t>
      </w:r>
    </w:p>
    <w:p w14:paraId="6206FF9D"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Project reserves: Funding for known or anticipated liabilities</w:t>
      </w:r>
    </w:p>
    <w:p w14:paraId="41890EF7" w14:textId="77777777" w:rsidR="00650DB7" w:rsidRPr="00650DB7" w:rsidRDefault="00650DB7" w:rsidP="002A2D68">
      <w:pPr>
        <w:ind w:left="720" w:hanging="720"/>
        <w:rPr>
          <w:rFonts w:ascii="Arial" w:hAnsi="Arial" w:cs="Arial"/>
        </w:rPr>
      </w:pPr>
      <w:r w:rsidRPr="00650DB7">
        <w:rPr>
          <w:rFonts w:ascii="Arial" w:hAnsi="Arial" w:cs="Arial"/>
        </w:rPr>
        <w:t xml:space="preserve">• </w:t>
      </w:r>
      <w:r w:rsidRPr="00650DB7">
        <w:rPr>
          <w:rFonts w:ascii="Arial" w:hAnsi="Arial" w:cs="Arial"/>
        </w:rPr>
        <w:tab/>
        <w:t>Carry-forward: Unspent budgeted funds committed to ongoing work (subject to Council approval)</w:t>
      </w:r>
    </w:p>
    <w:p w14:paraId="420FE6E8" w14:textId="77777777" w:rsidR="00650DB7" w:rsidRPr="002A2D68" w:rsidRDefault="00650DB7" w:rsidP="00650DB7">
      <w:pPr>
        <w:rPr>
          <w:rFonts w:ascii="Arial" w:hAnsi="Arial" w:cs="Arial"/>
          <w:b/>
          <w:bCs/>
        </w:rPr>
      </w:pPr>
      <w:r w:rsidRPr="002A2D68">
        <w:rPr>
          <w:rFonts w:ascii="Arial" w:hAnsi="Arial" w:cs="Arial"/>
          <w:b/>
          <w:bCs/>
          <w:color w:val="7030A0"/>
        </w:rPr>
        <w:t>Key principles:</w:t>
      </w:r>
    </w:p>
    <w:p w14:paraId="771A2F90"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EMRs must be approved by Council resolution</w:t>
      </w:r>
    </w:p>
    <w:p w14:paraId="429FACFC" w14:textId="77777777" w:rsidR="00650DB7" w:rsidRPr="00650DB7" w:rsidRDefault="00650DB7" w:rsidP="00650DB7">
      <w:pPr>
        <w:rPr>
          <w:rFonts w:ascii="Arial" w:hAnsi="Arial" w:cs="Arial"/>
        </w:rPr>
      </w:pPr>
      <w:r w:rsidRPr="00650DB7">
        <w:rPr>
          <w:rFonts w:ascii="Arial" w:hAnsi="Arial" w:cs="Arial"/>
        </w:rPr>
        <w:t xml:space="preserve">• </w:t>
      </w:r>
      <w:r w:rsidRPr="00650DB7">
        <w:rPr>
          <w:rFonts w:ascii="Arial" w:hAnsi="Arial" w:cs="Arial"/>
        </w:rPr>
        <w:tab/>
        <w:t>Expenditure from EMRs must be authorised by the Council</w:t>
      </w:r>
    </w:p>
    <w:p w14:paraId="5EC4A1A0" w14:textId="674CE0E7" w:rsidR="002E14EE" w:rsidRDefault="00650DB7" w:rsidP="002A2D68">
      <w:pPr>
        <w:ind w:left="720" w:hanging="720"/>
        <w:rPr>
          <w:rFonts w:ascii="Arial" w:hAnsi="Arial" w:cs="Arial"/>
        </w:rPr>
      </w:pPr>
      <w:r w:rsidRPr="00650DB7">
        <w:rPr>
          <w:rFonts w:ascii="Arial" w:hAnsi="Arial" w:cs="Arial"/>
        </w:rPr>
        <w:t xml:space="preserve">• </w:t>
      </w:r>
      <w:r w:rsidRPr="00650DB7">
        <w:rPr>
          <w:rFonts w:ascii="Arial" w:hAnsi="Arial" w:cs="Arial"/>
        </w:rPr>
        <w:tab/>
        <w:t>Each EMR must have a clear purpose, review schedule, and management procedure</w:t>
      </w:r>
    </w:p>
    <w:p w14:paraId="5C0BA90E" w14:textId="0D076188" w:rsidR="00A977EE" w:rsidRPr="00236510" w:rsidRDefault="004A7747" w:rsidP="002A2D68">
      <w:pPr>
        <w:ind w:left="720" w:hanging="720"/>
        <w:rPr>
          <w:rFonts w:ascii="Arial" w:hAnsi="Arial" w:cs="Arial"/>
          <w:b/>
          <w:bCs/>
          <w:color w:val="7030A0"/>
        </w:rPr>
      </w:pPr>
      <w:r w:rsidRPr="00236510">
        <w:rPr>
          <w:rFonts w:ascii="Arial" w:hAnsi="Arial" w:cs="Arial"/>
          <w:b/>
          <w:bCs/>
          <w:color w:val="7030A0"/>
        </w:rPr>
        <w:t>c) Earmarked CILS and S.106 monies</w:t>
      </w:r>
    </w:p>
    <w:p w14:paraId="144377B9" w14:textId="6A1F5D22" w:rsidR="00FA583E" w:rsidRPr="00FA583E" w:rsidRDefault="00FA583E" w:rsidP="00FA583E">
      <w:pPr>
        <w:ind w:left="720" w:hanging="720"/>
        <w:rPr>
          <w:rFonts w:ascii="Arial" w:hAnsi="Arial" w:cs="Arial"/>
        </w:rPr>
      </w:pPr>
      <w:r w:rsidRPr="00FA583E">
        <w:rPr>
          <w:rFonts w:ascii="Arial" w:hAnsi="Arial" w:cs="Arial"/>
        </w:rPr>
        <w:t>Held separately within earmarked reserves to ensure full compliance with th</w:t>
      </w:r>
      <w:r w:rsidR="00475D97">
        <w:rPr>
          <w:rFonts w:ascii="Arial" w:hAnsi="Arial" w:cs="Arial"/>
        </w:rPr>
        <w:t xml:space="preserve">e </w:t>
      </w:r>
      <w:r w:rsidRPr="00FA583E">
        <w:rPr>
          <w:rFonts w:ascii="Arial" w:hAnsi="Arial" w:cs="Arial"/>
        </w:rPr>
        <w:t>statutory and legal restrictions attached to these funds.</w:t>
      </w:r>
    </w:p>
    <w:p w14:paraId="7B54A355" w14:textId="77777777" w:rsidR="00FA583E" w:rsidRPr="00FA583E" w:rsidRDefault="00FA583E" w:rsidP="00FA583E">
      <w:pPr>
        <w:ind w:left="720" w:hanging="720"/>
        <w:rPr>
          <w:rFonts w:ascii="Arial" w:hAnsi="Arial" w:cs="Arial"/>
        </w:rPr>
      </w:pPr>
      <w:r w:rsidRPr="00FA583E">
        <w:rPr>
          <w:rFonts w:ascii="Arial" w:hAnsi="Arial" w:cs="Arial"/>
        </w:rPr>
        <w:t>Purpose and Restrictions:</w:t>
      </w:r>
    </w:p>
    <w:p w14:paraId="790AFDBE" w14:textId="77777777" w:rsidR="00FA583E" w:rsidRPr="00FA583E" w:rsidRDefault="00FA583E" w:rsidP="00FA583E">
      <w:pPr>
        <w:ind w:left="720" w:hanging="720"/>
        <w:rPr>
          <w:rFonts w:ascii="Arial" w:hAnsi="Arial" w:cs="Arial"/>
        </w:rPr>
      </w:pPr>
      <w:r w:rsidRPr="00FA583E">
        <w:rPr>
          <w:rFonts w:ascii="Arial" w:hAnsi="Arial" w:cs="Arial"/>
        </w:rPr>
        <w:t>• Community Infrastructure Levy (CIL): Must be spent on infrastructure or infrastructure</w:t>
      </w:r>
      <w:r w:rsidRPr="00FA583E">
        <w:rPr>
          <w:rFonts w:ascii="Cambria Math" w:hAnsi="Cambria Math" w:cs="Cambria Math"/>
        </w:rPr>
        <w:t>‑</w:t>
      </w:r>
      <w:r w:rsidRPr="00FA583E">
        <w:rPr>
          <w:rFonts w:ascii="Arial" w:hAnsi="Arial" w:cs="Arial"/>
        </w:rPr>
        <w:t>related projects that support the development of the area, in accordance with the CIL Regulations.</w:t>
      </w:r>
    </w:p>
    <w:p w14:paraId="35B56A9E" w14:textId="77777777" w:rsidR="00FA583E" w:rsidRPr="00FA583E" w:rsidRDefault="00FA583E" w:rsidP="00FA583E">
      <w:pPr>
        <w:ind w:left="720" w:hanging="720"/>
        <w:rPr>
          <w:rFonts w:ascii="Arial" w:hAnsi="Arial" w:cs="Arial"/>
        </w:rPr>
      </w:pPr>
      <w:r w:rsidRPr="00FA583E">
        <w:rPr>
          <w:rFonts w:ascii="Arial" w:hAnsi="Arial" w:cs="Arial"/>
        </w:rPr>
        <w:lastRenderedPageBreak/>
        <w:t>• Section 106 (S.106) Contributions: Must be spent strictly in line with the terms of the individual legal agreement, which may specify location, purpose, or project type (e.g., open space, sport, recreation, transport, or community facilities).</w:t>
      </w:r>
    </w:p>
    <w:p w14:paraId="0BC80E56" w14:textId="77777777" w:rsidR="00FA583E" w:rsidRPr="00FA583E" w:rsidRDefault="00FA583E" w:rsidP="00FA583E">
      <w:pPr>
        <w:ind w:left="720" w:hanging="720"/>
        <w:rPr>
          <w:rFonts w:ascii="Arial" w:hAnsi="Arial" w:cs="Arial"/>
        </w:rPr>
      </w:pPr>
      <w:r w:rsidRPr="00FA583E">
        <w:rPr>
          <w:rFonts w:ascii="Arial" w:hAnsi="Arial" w:cs="Arial"/>
        </w:rPr>
        <w:t>• These funds cannot be used for general operational expenditure or projects outside the defined scope of the legislation or agreement.</w:t>
      </w:r>
    </w:p>
    <w:p w14:paraId="14DAB20A" w14:textId="77777777" w:rsidR="00FA583E" w:rsidRPr="00FA583E" w:rsidRDefault="00FA583E" w:rsidP="00FA583E">
      <w:pPr>
        <w:ind w:left="720" w:hanging="720"/>
        <w:rPr>
          <w:rFonts w:ascii="Arial" w:hAnsi="Arial" w:cs="Arial"/>
        </w:rPr>
      </w:pPr>
      <w:r w:rsidRPr="00FA583E">
        <w:rPr>
          <w:rFonts w:ascii="Arial" w:hAnsi="Arial" w:cs="Arial"/>
        </w:rPr>
        <w:t>Management and Reporting:</w:t>
      </w:r>
    </w:p>
    <w:p w14:paraId="24ECF756" w14:textId="77777777" w:rsidR="00FA583E" w:rsidRPr="00FA583E" w:rsidRDefault="00FA583E" w:rsidP="00FA583E">
      <w:pPr>
        <w:ind w:left="720" w:hanging="720"/>
        <w:rPr>
          <w:rFonts w:ascii="Arial" w:hAnsi="Arial" w:cs="Arial"/>
        </w:rPr>
      </w:pPr>
      <w:r w:rsidRPr="00FA583E">
        <w:rPr>
          <w:rFonts w:ascii="Arial" w:hAnsi="Arial" w:cs="Arial"/>
        </w:rPr>
        <w:t>• CIL and S.106 balances will be recorded as separate earmarked reserves to ensure transparency and traceability.</w:t>
      </w:r>
    </w:p>
    <w:p w14:paraId="31D95F95" w14:textId="77777777" w:rsidR="00FA583E" w:rsidRPr="00FA583E" w:rsidRDefault="00FA583E" w:rsidP="00FA583E">
      <w:pPr>
        <w:ind w:left="720" w:hanging="720"/>
        <w:rPr>
          <w:rFonts w:ascii="Arial" w:hAnsi="Arial" w:cs="Arial"/>
        </w:rPr>
      </w:pPr>
      <w:r w:rsidRPr="00FA583E">
        <w:rPr>
          <w:rFonts w:ascii="Arial" w:hAnsi="Arial" w:cs="Arial"/>
        </w:rPr>
        <w:t>• The RFO will maintain a clear audit trail showing receipts, commitments, and expenditure against each contribution.</w:t>
      </w:r>
    </w:p>
    <w:p w14:paraId="7B349996" w14:textId="77777777" w:rsidR="00FA583E" w:rsidRPr="00FA583E" w:rsidRDefault="00FA583E" w:rsidP="00FA583E">
      <w:pPr>
        <w:ind w:left="720" w:hanging="720"/>
        <w:rPr>
          <w:rFonts w:ascii="Arial" w:hAnsi="Arial" w:cs="Arial"/>
        </w:rPr>
      </w:pPr>
      <w:r w:rsidRPr="00FA583E">
        <w:rPr>
          <w:rFonts w:ascii="Arial" w:hAnsi="Arial" w:cs="Arial"/>
        </w:rPr>
        <w:t>• Annual reporting requirements (including the CIL Annual Report) will be fulfilled in accordance with statutory deadlines.</w:t>
      </w:r>
    </w:p>
    <w:p w14:paraId="2BF5141E" w14:textId="77777777" w:rsidR="00FA583E" w:rsidRPr="00FA583E" w:rsidRDefault="00FA583E" w:rsidP="00FA583E">
      <w:pPr>
        <w:ind w:left="720" w:hanging="720"/>
        <w:rPr>
          <w:rFonts w:ascii="Arial" w:hAnsi="Arial" w:cs="Arial"/>
        </w:rPr>
      </w:pPr>
      <w:r w:rsidRPr="00FA583E">
        <w:rPr>
          <w:rFonts w:ascii="Arial" w:hAnsi="Arial" w:cs="Arial"/>
        </w:rPr>
        <w:t>Decision</w:t>
      </w:r>
      <w:r w:rsidRPr="00FA583E">
        <w:rPr>
          <w:rFonts w:ascii="Cambria Math" w:hAnsi="Cambria Math" w:cs="Cambria Math"/>
        </w:rPr>
        <w:t>‑</w:t>
      </w:r>
      <w:r w:rsidRPr="00FA583E">
        <w:rPr>
          <w:rFonts w:ascii="Arial" w:hAnsi="Arial" w:cs="Arial"/>
        </w:rPr>
        <w:t>Making:</w:t>
      </w:r>
    </w:p>
    <w:p w14:paraId="741189DA" w14:textId="77777777" w:rsidR="00FA583E" w:rsidRPr="00FA583E" w:rsidRDefault="00FA583E" w:rsidP="00FA583E">
      <w:pPr>
        <w:ind w:left="720" w:hanging="720"/>
        <w:rPr>
          <w:rFonts w:ascii="Arial" w:hAnsi="Arial" w:cs="Arial"/>
        </w:rPr>
      </w:pPr>
      <w:r w:rsidRPr="00FA583E">
        <w:rPr>
          <w:rFonts w:ascii="Arial" w:hAnsi="Arial" w:cs="Arial"/>
        </w:rPr>
        <w:t>• Expenditure from CIL or S.106 reserves must be approved by Council resolution and must demonstrate compliance with the relevant statutory or legal restrictions.</w:t>
      </w:r>
    </w:p>
    <w:p w14:paraId="5FE270EC" w14:textId="77777777" w:rsidR="00FA583E" w:rsidRPr="00FA583E" w:rsidRDefault="00FA583E" w:rsidP="00FA583E">
      <w:pPr>
        <w:ind w:left="720" w:hanging="720"/>
        <w:rPr>
          <w:rFonts w:ascii="Arial" w:hAnsi="Arial" w:cs="Arial"/>
        </w:rPr>
      </w:pPr>
      <w:r w:rsidRPr="00FA583E">
        <w:rPr>
          <w:rFonts w:ascii="Arial" w:hAnsi="Arial" w:cs="Arial"/>
        </w:rPr>
        <w:t>• Where appropriate, the Council may consult with the community or partner organisations to identify suitable infrastructure projects.</w:t>
      </w:r>
    </w:p>
    <w:p w14:paraId="0D12E9F9" w14:textId="77777777" w:rsidR="00FA583E" w:rsidRPr="00FA583E" w:rsidRDefault="00FA583E" w:rsidP="00FA583E">
      <w:pPr>
        <w:ind w:left="720" w:hanging="720"/>
        <w:rPr>
          <w:rFonts w:ascii="Arial" w:hAnsi="Arial" w:cs="Arial"/>
        </w:rPr>
      </w:pPr>
      <w:r w:rsidRPr="00FA583E">
        <w:rPr>
          <w:rFonts w:ascii="Arial" w:hAnsi="Arial" w:cs="Arial"/>
        </w:rPr>
        <w:t>• Unspent CIL funds approaching the regulatory time limit will be reviewed annually, with recommendations brought to Council to ensure timely and compliant use.</w:t>
      </w:r>
    </w:p>
    <w:p w14:paraId="29A6BFF0" w14:textId="77777777" w:rsidR="00FA583E" w:rsidRPr="00FA583E" w:rsidRDefault="00FA583E" w:rsidP="00FA583E">
      <w:pPr>
        <w:ind w:left="720" w:hanging="720"/>
        <w:rPr>
          <w:rFonts w:ascii="Arial" w:hAnsi="Arial" w:cs="Arial"/>
        </w:rPr>
      </w:pPr>
      <w:r w:rsidRPr="00FA583E">
        <w:rPr>
          <w:rFonts w:ascii="Arial" w:hAnsi="Arial" w:cs="Arial"/>
        </w:rPr>
        <w:t>Review:</w:t>
      </w:r>
    </w:p>
    <w:p w14:paraId="7D1E22CA" w14:textId="77777777" w:rsidR="00FA583E" w:rsidRPr="00FA583E" w:rsidRDefault="00FA583E" w:rsidP="00FA583E">
      <w:pPr>
        <w:ind w:left="720" w:hanging="720"/>
        <w:rPr>
          <w:rFonts w:ascii="Arial" w:hAnsi="Arial" w:cs="Arial"/>
        </w:rPr>
      </w:pPr>
      <w:r w:rsidRPr="00FA583E">
        <w:rPr>
          <w:rFonts w:ascii="Arial" w:hAnsi="Arial" w:cs="Arial"/>
        </w:rPr>
        <w:t>• The status of all CIL and S.106 earmarked reserves will be reviewed as part of the annual budget</w:t>
      </w:r>
      <w:r w:rsidRPr="00FA583E">
        <w:rPr>
          <w:rFonts w:ascii="Cambria Math" w:hAnsi="Cambria Math" w:cs="Cambria Math"/>
        </w:rPr>
        <w:t>‑</w:t>
      </w:r>
      <w:r w:rsidRPr="00FA583E">
        <w:rPr>
          <w:rFonts w:ascii="Arial" w:hAnsi="Arial" w:cs="Arial"/>
        </w:rPr>
        <w:t>setting process and year</w:t>
      </w:r>
      <w:r w:rsidRPr="00FA583E">
        <w:rPr>
          <w:rFonts w:ascii="Cambria Math" w:hAnsi="Cambria Math" w:cs="Cambria Math"/>
        </w:rPr>
        <w:t>‑</w:t>
      </w:r>
      <w:r w:rsidRPr="00FA583E">
        <w:rPr>
          <w:rFonts w:ascii="Arial" w:hAnsi="Arial" w:cs="Arial"/>
        </w:rPr>
        <w:t>end closedown.</w:t>
      </w:r>
    </w:p>
    <w:p w14:paraId="6E2B1EE6" w14:textId="08299FF7" w:rsidR="004A7747" w:rsidRDefault="00FA583E" w:rsidP="00FA583E">
      <w:pPr>
        <w:ind w:left="720" w:hanging="720"/>
        <w:rPr>
          <w:rFonts w:ascii="Arial" w:hAnsi="Arial" w:cs="Arial"/>
        </w:rPr>
      </w:pPr>
      <w:r w:rsidRPr="00FA583E">
        <w:rPr>
          <w:rFonts w:ascii="Arial" w:hAnsi="Arial" w:cs="Arial"/>
        </w:rPr>
        <w:t>• Any changes to project allocations or commitments must be approved by Council.</w:t>
      </w:r>
    </w:p>
    <w:p w14:paraId="06604189" w14:textId="77777777" w:rsidR="002A2D68" w:rsidRPr="002A2D68" w:rsidRDefault="002A2D68" w:rsidP="002A2D68">
      <w:pPr>
        <w:ind w:left="720" w:hanging="720"/>
        <w:rPr>
          <w:rFonts w:ascii="Arial" w:hAnsi="Arial" w:cs="Arial"/>
        </w:rPr>
      </w:pPr>
    </w:p>
    <w:p w14:paraId="5F45F6D9" w14:textId="59DC21CB" w:rsidR="00D87341" w:rsidRPr="00F80EED" w:rsidRDefault="00D87341" w:rsidP="00D87341">
      <w:pPr>
        <w:rPr>
          <w:rFonts w:ascii="Arial" w:hAnsi="Arial" w:cs="Arial"/>
          <w:b/>
          <w:bCs/>
          <w:color w:val="7030A0"/>
          <w:sz w:val="28"/>
          <w:szCs w:val="28"/>
        </w:rPr>
      </w:pPr>
      <w:r w:rsidRPr="00F80EED">
        <w:rPr>
          <w:rFonts w:ascii="Arial" w:hAnsi="Arial" w:cs="Arial"/>
          <w:b/>
          <w:bCs/>
          <w:color w:val="7030A0"/>
          <w:sz w:val="28"/>
          <w:szCs w:val="28"/>
        </w:rPr>
        <w:t xml:space="preserve">3. </w:t>
      </w:r>
      <w:r w:rsidR="002A2D68">
        <w:rPr>
          <w:rFonts w:ascii="Arial" w:hAnsi="Arial" w:cs="Arial"/>
          <w:b/>
          <w:bCs/>
          <w:color w:val="7030A0"/>
          <w:sz w:val="28"/>
          <w:szCs w:val="28"/>
        </w:rPr>
        <w:t xml:space="preserve">Risk Assessment and Review </w:t>
      </w:r>
    </w:p>
    <w:p w14:paraId="7CD69573" w14:textId="77777777" w:rsidR="00E66FE2" w:rsidRPr="00E66FE2" w:rsidRDefault="00E66FE2" w:rsidP="00E66FE2">
      <w:pPr>
        <w:jc w:val="both"/>
        <w:rPr>
          <w:rFonts w:ascii="Arial" w:hAnsi="Arial" w:cs="Arial"/>
        </w:rPr>
      </w:pPr>
      <w:r w:rsidRPr="00E66FE2">
        <w:rPr>
          <w:rFonts w:ascii="Arial" w:hAnsi="Arial" w:cs="Arial"/>
        </w:rPr>
        <w:t>The RFO will conduct an annual financial risk assessment to determine the adequacy of reserves, considering:</w:t>
      </w:r>
    </w:p>
    <w:p w14:paraId="4F305D94" w14:textId="77777777" w:rsidR="00E66FE2" w:rsidRPr="00E66FE2" w:rsidRDefault="00E66FE2" w:rsidP="00E66FE2">
      <w:pPr>
        <w:jc w:val="both"/>
        <w:rPr>
          <w:rFonts w:ascii="Arial" w:hAnsi="Arial" w:cs="Arial"/>
        </w:rPr>
      </w:pPr>
      <w:r w:rsidRPr="00E66FE2">
        <w:rPr>
          <w:rFonts w:ascii="Arial" w:hAnsi="Arial" w:cs="Arial"/>
        </w:rPr>
        <w:t xml:space="preserve">• </w:t>
      </w:r>
      <w:r w:rsidRPr="00E66FE2">
        <w:rPr>
          <w:rFonts w:ascii="Arial" w:hAnsi="Arial" w:cs="Arial"/>
        </w:rPr>
        <w:tab/>
        <w:t>Strategic and operational risks</w:t>
      </w:r>
    </w:p>
    <w:p w14:paraId="0D82D9E6" w14:textId="77777777" w:rsidR="00E66FE2" w:rsidRPr="00E66FE2" w:rsidRDefault="00E66FE2" w:rsidP="00E66FE2">
      <w:pPr>
        <w:jc w:val="both"/>
        <w:rPr>
          <w:rFonts w:ascii="Arial" w:hAnsi="Arial" w:cs="Arial"/>
        </w:rPr>
      </w:pPr>
      <w:r w:rsidRPr="00E66FE2">
        <w:rPr>
          <w:rFonts w:ascii="Arial" w:hAnsi="Arial" w:cs="Arial"/>
        </w:rPr>
        <w:t xml:space="preserve">• </w:t>
      </w:r>
      <w:r w:rsidRPr="00E66FE2">
        <w:rPr>
          <w:rFonts w:ascii="Arial" w:hAnsi="Arial" w:cs="Arial"/>
        </w:rPr>
        <w:tab/>
        <w:t>Volatility of income streams</w:t>
      </w:r>
    </w:p>
    <w:p w14:paraId="6FEE0BF1" w14:textId="77777777" w:rsidR="00E66FE2" w:rsidRPr="00E66FE2" w:rsidRDefault="00E66FE2" w:rsidP="00E66FE2">
      <w:pPr>
        <w:jc w:val="both"/>
        <w:rPr>
          <w:rFonts w:ascii="Arial" w:hAnsi="Arial" w:cs="Arial"/>
        </w:rPr>
      </w:pPr>
      <w:r w:rsidRPr="00E66FE2">
        <w:rPr>
          <w:rFonts w:ascii="Arial" w:hAnsi="Arial" w:cs="Arial"/>
        </w:rPr>
        <w:t xml:space="preserve">• </w:t>
      </w:r>
      <w:r w:rsidRPr="00E66FE2">
        <w:rPr>
          <w:rFonts w:ascii="Arial" w:hAnsi="Arial" w:cs="Arial"/>
        </w:rPr>
        <w:tab/>
        <w:t>Known liabilities and contingencies</w:t>
      </w:r>
    </w:p>
    <w:p w14:paraId="2A1BDDED" w14:textId="60BC29B6" w:rsidR="00270CA2" w:rsidRDefault="00E66FE2" w:rsidP="00E66FE2">
      <w:pPr>
        <w:jc w:val="both"/>
        <w:rPr>
          <w:rFonts w:ascii="Arial" w:hAnsi="Arial" w:cs="Arial"/>
        </w:rPr>
      </w:pPr>
      <w:r w:rsidRPr="00E66FE2">
        <w:rPr>
          <w:rFonts w:ascii="Arial" w:hAnsi="Arial" w:cs="Arial"/>
        </w:rPr>
        <w:t>This assessment will inform the budget-setting process and be documented in the Financial Risk Register.</w:t>
      </w:r>
    </w:p>
    <w:p w14:paraId="2114DFBC" w14:textId="77777777" w:rsidR="00D26869" w:rsidRPr="00B12C81" w:rsidRDefault="00D26869" w:rsidP="00E66FE2">
      <w:pPr>
        <w:jc w:val="both"/>
        <w:rPr>
          <w:rFonts w:ascii="Arial" w:hAnsi="Arial" w:cs="Arial"/>
        </w:rPr>
      </w:pPr>
    </w:p>
    <w:p w14:paraId="7074D8C0" w14:textId="3B09199A" w:rsidR="00D87341" w:rsidRPr="00301475" w:rsidRDefault="00D87341" w:rsidP="00662FFA">
      <w:pPr>
        <w:jc w:val="both"/>
        <w:rPr>
          <w:rFonts w:ascii="Arial" w:hAnsi="Arial" w:cs="Arial"/>
          <w:b/>
          <w:bCs/>
          <w:color w:val="7030A0"/>
          <w:sz w:val="28"/>
          <w:szCs w:val="28"/>
        </w:rPr>
      </w:pPr>
      <w:r w:rsidRPr="00301475">
        <w:rPr>
          <w:rFonts w:ascii="Arial" w:hAnsi="Arial" w:cs="Arial"/>
          <w:b/>
          <w:bCs/>
          <w:color w:val="7030A0"/>
          <w:sz w:val="28"/>
          <w:szCs w:val="28"/>
        </w:rPr>
        <w:t xml:space="preserve">4. </w:t>
      </w:r>
      <w:r w:rsidR="00D26869">
        <w:rPr>
          <w:rFonts w:ascii="Arial" w:hAnsi="Arial" w:cs="Arial"/>
          <w:b/>
          <w:bCs/>
          <w:color w:val="7030A0"/>
          <w:sz w:val="28"/>
          <w:szCs w:val="28"/>
        </w:rPr>
        <w:t>Governance and Transparency</w:t>
      </w:r>
    </w:p>
    <w:p w14:paraId="387A600F" w14:textId="77777777" w:rsidR="00725A26" w:rsidRPr="00725A26" w:rsidRDefault="00725A26" w:rsidP="00725A26">
      <w:pPr>
        <w:jc w:val="both"/>
        <w:rPr>
          <w:rFonts w:ascii="Arial" w:hAnsi="Arial" w:cs="Arial"/>
        </w:rPr>
      </w:pPr>
      <w:r w:rsidRPr="00725A26">
        <w:rPr>
          <w:rFonts w:ascii="Arial" w:hAnsi="Arial" w:cs="Arial"/>
        </w:rPr>
        <w:t>Reserve levels and movements will be reported to the Finance Committee and Full Council as part of the annual budget and year-end processes.</w:t>
      </w:r>
    </w:p>
    <w:p w14:paraId="49C3EEF3" w14:textId="77777777" w:rsidR="00725A26" w:rsidRPr="00725A26" w:rsidRDefault="00725A26" w:rsidP="00725A26">
      <w:pPr>
        <w:jc w:val="both"/>
        <w:rPr>
          <w:rFonts w:ascii="Arial" w:hAnsi="Arial" w:cs="Arial"/>
        </w:rPr>
      </w:pPr>
      <w:r w:rsidRPr="00725A26">
        <w:rPr>
          <w:rFonts w:ascii="Arial" w:hAnsi="Arial" w:cs="Arial"/>
        </w:rPr>
        <w:t xml:space="preserve">• </w:t>
      </w:r>
      <w:r w:rsidRPr="00725A26">
        <w:rPr>
          <w:rFonts w:ascii="Arial" w:hAnsi="Arial" w:cs="Arial"/>
        </w:rPr>
        <w:tab/>
        <w:t>All decisions to create, use, or close reserves must be minuted and traceable.</w:t>
      </w:r>
    </w:p>
    <w:p w14:paraId="4A79E0BD" w14:textId="7CB2AF66" w:rsidR="00192305" w:rsidRPr="00B12C81" w:rsidRDefault="00725A26" w:rsidP="00725A26">
      <w:pPr>
        <w:ind w:left="720" w:hanging="720"/>
        <w:jc w:val="both"/>
        <w:rPr>
          <w:rFonts w:ascii="Arial" w:hAnsi="Arial" w:cs="Arial"/>
        </w:rPr>
      </w:pPr>
      <w:r w:rsidRPr="00725A26">
        <w:rPr>
          <w:rFonts w:ascii="Arial" w:hAnsi="Arial" w:cs="Arial"/>
        </w:rPr>
        <w:t xml:space="preserve">• </w:t>
      </w:r>
      <w:r w:rsidRPr="00725A26">
        <w:rPr>
          <w:rFonts w:ascii="Arial" w:hAnsi="Arial" w:cs="Arial"/>
        </w:rPr>
        <w:tab/>
        <w:t>This policy will be reviewed annually or in response to significant changes in financial risk or statutory guidance.</w:t>
      </w:r>
    </w:p>
    <w:sectPr w:rsidR="00192305" w:rsidRPr="00B12C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AAEF" w14:textId="77777777" w:rsidR="00AE7542" w:rsidRDefault="00AE7542" w:rsidP="00B07BAD">
      <w:pPr>
        <w:spacing w:after="0" w:line="240" w:lineRule="auto"/>
      </w:pPr>
      <w:r>
        <w:separator/>
      </w:r>
    </w:p>
  </w:endnote>
  <w:endnote w:type="continuationSeparator" w:id="0">
    <w:p w14:paraId="3659FD9A" w14:textId="77777777" w:rsidR="00AE7542" w:rsidRDefault="00AE7542"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D45F" w14:textId="77777777" w:rsidR="00AE7542" w:rsidRDefault="00AE7542" w:rsidP="00B07BAD">
      <w:pPr>
        <w:spacing w:after="0" w:line="240" w:lineRule="auto"/>
      </w:pPr>
      <w:r>
        <w:separator/>
      </w:r>
    </w:p>
  </w:footnote>
  <w:footnote w:type="continuationSeparator" w:id="0">
    <w:p w14:paraId="3AD2AEC8" w14:textId="77777777" w:rsidR="00AE7542" w:rsidRDefault="00AE7542"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5354334A"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w:t>
    </w:r>
    <w:r w:rsidR="003B59AC">
      <w:rPr>
        <w:rFonts w:ascii="Arial" w:hAnsi="Arial" w:cs="Arial"/>
        <w:sz w:val="22"/>
        <w:szCs w:val="22"/>
      </w:rPr>
      <w:t>Reserves</w:t>
    </w:r>
    <w:r w:rsidRPr="00015C5A">
      <w:rPr>
        <w:rFonts w:ascii="Arial" w:hAnsi="Arial" w:cs="Arial"/>
        <w:sz w:val="22"/>
        <w:szCs w:val="22"/>
      </w:rPr>
      <w:t xml:space="preserve"> Policy</w:t>
    </w:r>
  </w:p>
  <w:p w14:paraId="5289E8E1" w14:textId="69757D82"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w:t>
    </w:r>
    <w:r w:rsidR="009755FF">
      <w:rPr>
        <w:rFonts w:ascii="Arial" w:hAnsi="Arial" w:cs="Arial"/>
        <w:sz w:val="22"/>
        <w:szCs w:val="22"/>
      </w:rPr>
      <w:t>3</w:t>
    </w:r>
    <w:r w:rsidR="00D40DC6">
      <w:rPr>
        <w:rFonts w:ascii="Arial" w:hAnsi="Arial" w:cs="Arial"/>
        <w:sz w:val="22"/>
        <w:szCs w:val="22"/>
      </w:rPr>
      <w:t xml:space="preserve">  </w:t>
    </w:r>
    <w:r w:rsidRPr="00015C5A">
      <w:rPr>
        <w:rFonts w:ascii="Arial" w:hAnsi="Arial" w:cs="Arial"/>
        <w:sz w:val="22"/>
        <w:szCs w:val="22"/>
      </w:rPr>
      <w:t xml:space="preserve"> </w:t>
    </w:r>
    <w:r w:rsidR="009755FF">
      <w:rPr>
        <w:rFonts w:ascii="Arial" w:hAnsi="Arial" w:cs="Arial"/>
        <w:sz w:val="22"/>
        <w:szCs w:val="22"/>
      </w:rPr>
      <w:t>Updated</w:t>
    </w:r>
    <w:r w:rsidRPr="00015C5A">
      <w:rPr>
        <w:rFonts w:ascii="Arial" w:hAnsi="Arial" w:cs="Arial"/>
        <w:sz w:val="22"/>
        <w:szCs w:val="22"/>
      </w:rPr>
      <w:t>:</w:t>
    </w:r>
    <w:r w:rsidR="003125EB">
      <w:rPr>
        <w:rFonts w:ascii="Arial" w:hAnsi="Arial" w:cs="Arial"/>
        <w:sz w:val="22"/>
        <w:szCs w:val="22"/>
      </w:rPr>
      <w:t xml:space="preserve"> </w:t>
    </w:r>
    <w:r w:rsidR="009755FF">
      <w:rPr>
        <w:rFonts w:ascii="Arial" w:hAnsi="Arial" w:cs="Arial"/>
        <w:sz w:val="22"/>
        <w:szCs w:val="22"/>
      </w:rPr>
      <w:t>April 2026</w:t>
    </w:r>
    <w:r w:rsidRPr="00015C5A">
      <w:rPr>
        <w:rFonts w:ascii="Arial" w:hAnsi="Arial" w:cs="Arial"/>
        <w:sz w:val="22"/>
        <w:szCs w:val="22"/>
      </w:rPr>
      <w:t xml:space="preserve">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1"/>
  </w:num>
  <w:num w:numId="2" w16cid:durableId="1283609778">
    <w:abstractNumId w:val="2"/>
  </w:num>
  <w:num w:numId="3" w16cid:durableId="546721875">
    <w:abstractNumId w:val="7"/>
  </w:num>
  <w:num w:numId="4" w16cid:durableId="229728100">
    <w:abstractNumId w:val="3"/>
  </w:num>
  <w:num w:numId="5" w16cid:durableId="1010063565">
    <w:abstractNumId w:val="4"/>
  </w:num>
  <w:num w:numId="6" w16cid:durableId="103617153">
    <w:abstractNumId w:val="6"/>
  </w:num>
  <w:num w:numId="7" w16cid:durableId="1415009744">
    <w:abstractNumId w:val="0"/>
  </w:num>
  <w:num w:numId="8" w16cid:durableId="887257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5C5A"/>
    <w:rsid w:val="00035256"/>
    <w:rsid w:val="0004462F"/>
    <w:rsid w:val="00052E12"/>
    <w:rsid w:val="000A66D2"/>
    <w:rsid w:val="000B12B3"/>
    <w:rsid w:val="000C60D3"/>
    <w:rsid w:val="000E0567"/>
    <w:rsid w:val="001134ED"/>
    <w:rsid w:val="001158C0"/>
    <w:rsid w:val="0014032A"/>
    <w:rsid w:val="001417D1"/>
    <w:rsid w:val="00192305"/>
    <w:rsid w:val="001B323A"/>
    <w:rsid w:val="001D7FB0"/>
    <w:rsid w:val="00201A09"/>
    <w:rsid w:val="00222C3E"/>
    <w:rsid w:val="002271AA"/>
    <w:rsid w:val="00236510"/>
    <w:rsid w:val="00257363"/>
    <w:rsid w:val="00270CA2"/>
    <w:rsid w:val="002725AB"/>
    <w:rsid w:val="002A2D68"/>
    <w:rsid w:val="002B1FDC"/>
    <w:rsid w:val="002B6268"/>
    <w:rsid w:val="002D5579"/>
    <w:rsid w:val="002E14EE"/>
    <w:rsid w:val="00301475"/>
    <w:rsid w:val="0031227B"/>
    <w:rsid w:val="003125EB"/>
    <w:rsid w:val="00334C4E"/>
    <w:rsid w:val="00334F6D"/>
    <w:rsid w:val="00361A89"/>
    <w:rsid w:val="0037239B"/>
    <w:rsid w:val="003B59AC"/>
    <w:rsid w:val="00405773"/>
    <w:rsid w:val="0043236D"/>
    <w:rsid w:val="00475D97"/>
    <w:rsid w:val="004A7747"/>
    <w:rsid w:val="004C63A3"/>
    <w:rsid w:val="004E76F8"/>
    <w:rsid w:val="004F60A5"/>
    <w:rsid w:val="00506250"/>
    <w:rsid w:val="00510BFF"/>
    <w:rsid w:val="005517D8"/>
    <w:rsid w:val="00556ACC"/>
    <w:rsid w:val="005953C5"/>
    <w:rsid w:val="005C4540"/>
    <w:rsid w:val="005D0610"/>
    <w:rsid w:val="005D51E7"/>
    <w:rsid w:val="005F5EF9"/>
    <w:rsid w:val="006133DE"/>
    <w:rsid w:val="0065012E"/>
    <w:rsid w:val="00650DB7"/>
    <w:rsid w:val="00652EEA"/>
    <w:rsid w:val="00662FFA"/>
    <w:rsid w:val="00674CDF"/>
    <w:rsid w:val="00675896"/>
    <w:rsid w:val="00682095"/>
    <w:rsid w:val="007045A2"/>
    <w:rsid w:val="0071078A"/>
    <w:rsid w:val="00712E2D"/>
    <w:rsid w:val="00722852"/>
    <w:rsid w:val="00725A26"/>
    <w:rsid w:val="007416B7"/>
    <w:rsid w:val="00755838"/>
    <w:rsid w:val="007A15EB"/>
    <w:rsid w:val="007B37AC"/>
    <w:rsid w:val="007B5997"/>
    <w:rsid w:val="007E43E6"/>
    <w:rsid w:val="007F1B4F"/>
    <w:rsid w:val="008253B5"/>
    <w:rsid w:val="00843826"/>
    <w:rsid w:val="00862155"/>
    <w:rsid w:val="00881977"/>
    <w:rsid w:val="00893305"/>
    <w:rsid w:val="008A5060"/>
    <w:rsid w:val="008B315E"/>
    <w:rsid w:val="008F66B7"/>
    <w:rsid w:val="00901628"/>
    <w:rsid w:val="009755FF"/>
    <w:rsid w:val="009D5544"/>
    <w:rsid w:val="00A07CA8"/>
    <w:rsid w:val="00A128BA"/>
    <w:rsid w:val="00A65D58"/>
    <w:rsid w:val="00A8537B"/>
    <w:rsid w:val="00A9327D"/>
    <w:rsid w:val="00A94497"/>
    <w:rsid w:val="00A977EE"/>
    <w:rsid w:val="00AD3AC3"/>
    <w:rsid w:val="00AE7542"/>
    <w:rsid w:val="00B03C0A"/>
    <w:rsid w:val="00B07BAD"/>
    <w:rsid w:val="00B12C81"/>
    <w:rsid w:val="00B148B2"/>
    <w:rsid w:val="00B2555A"/>
    <w:rsid w:val="00B5081D"/>
    <w:rsid w:val="00B8681D"/>
    <w:rsid w:val="00B90C80"/>
    <w:rsid w:val="00BC7FE6"/>
    <w:rsid w:val="00C312B9"/>
    <w:rsid w:val="00C972EB"/>
    <w:rsid w:val="00CD701C"/>
    <w:rsid w:val="00CE6ACB"/>
    <w:rsid w:val="00D21728"/>
    <w:rsid w:val="00D26869"/>
    <w:rsid w:val="00D40DC6"/>
    <w:rsid w:val="00D72CF3"/>
    <w:rsid w:val="00D81F9F"/>
    <w:rsid w:val="00D824F9"/>
    <w:rsid w:val="00D826B8"/>
    <w:rsid w:val="00D87341"/>
    <w:rsid w:val="00DB7833"/>
    <w:rsid w:val="00DD4CEF"/>
    <w:rsid w:val="00DD5C7A"/>
    <w:rsid w:val="00DE3C1C"/>
    <w:rsid w:val="00E123DC"/>
    <w:rsid w:val="00E26C41"/>
    <w:rsid w:val="00E27655"/>
    <w:rsid w:val="00E66FE2"/>
    <w:rsid w:val="00E745C6"/>
    <w:rsid w:val="00E76B37"/>
    <w:rsid w:val="00E87BDD"/>
    <w:rsid w:val="00EB43C3"/>
    <w:rsid w:val="00ED34CC"/>
    <w:rsid w:val="00F64428"/>
    <w:rsid w:val="00F659DA"/>
    <w:rsid w:val="00F80EED"/>
    <w:rsid w:val="00F81B4D"/>
    <w:rsid w:val="00FA583E"/>
    <w:rsid w:val="00FE49CA"/>
    <w:rsid w:val="00FF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634</Words>
  <Characters>3823</Characters>
  <Application>Microsoft Office Word</Application>
  <DocSecurity>0</DocSecurity>
  <Lines>106</Lines>
  <Paragraphs>68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113</cp:revision>
  <dcterms:created xsi:type="dcterms:W3CDTF">2025-09-10T10:30:00Z</dcterms:created>
  <dcterms:modified xsi:type="dcterms:W3CDTF">2026-05-11T13:00:00Z</dcterms:modified>
</cp:coreProperties>
</file>